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B6" w:rsidRPr="00201FB1" w:rsidRDefault="00F858B6" w:rsidP="00F858B6">
      <w:pPr>
        <w:pStyle w:val="Heading1"/>
        <w:spacing w:line="360" w:lineRule="auto"/>
        <w:jc w:val="center"/>
        <w:rPr>
          <w:szCs w:val="32"/>
        </w:rPr>
      </w:pPr>
      <w:r w:rsidRPr="00201FB1">
        <w:rPr>
          <w:szCs w:val="32"/>
        </w:rPr>
        <w:t>Chapter 2</w:t>
      </w:r>
    </w:p>
    <w:p w:rsidR="00F858B6" w:rsidRPr="00C64BB1" w:rsidRDefault="00F858B6" w:rsidP="00F858B6">
      <w:pPr>
        <w:spacing w:line="360" w:lineRule="auto"/>
      </w:pPr>
    </w:p>
    <w:p w:rsidR="00F858B6" w:rsidRPr="0056761F" w:rsidRDefault="00F858B6" w:rsidP="00F858B6">
      <w:pPr>
        <w:pStyle w:val="BodyText"/>
        <w:rPr>
          <w:i w:val="0"/>
          <w:sz w:val="20"/>
          <w:szCs w:val="20"/>
        </w:rPr>
      </w:pPr>
      <w:r w:rsidRPr="0056761F">
        <w:rPr>
          <w:i w:val="0"/>
          <w:sz w:val="20"/>
          <w:szCs w:val="20"/>
        </w:rPr>
        <w:t>2.1 Nominal: Occupation, undergraduate major. Ordinal: Rating of university professor, Taste test ratings. Interval: age, income</w:t>
      </w:r>
    </w:p>
    <w:p w:rsidR="00F858B6" w:rsidRPr="0056761F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 xml:space="preserve">2.2 </w:t>
      </w:r>
      <w:proofErr w:type="gramStart"/>
      <w:r w:rsidRPr="00C64BB1">
        <w:t>a</w:t>
      </w:r>
      <w:proofErr w:type="gramEnd"/>
      <w:r w:rsidRPr="00C64BB1">
        <w:t xml:space="preserve"> Interval</w:t>
      </w:r>
      <w:r w:rsidRPr="00C64BB1">
        <w:tab/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 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Ordinal  </w:t>
      </w:r>
    </w:p>
    <w:p w:rsidR="00F858B6" w:rsidRPr="00C64BB1" w:rsidRDefault="00F858B6" w:rsidP="00F858B6">
      <w:pPr>
        <w:spacing w:line="360" w:lineRule="auto"/>
      </w:pPr>
      <w:bookmarkStart w:id="0" w:name="_GoBack"/>
      <w:bookmarkEnd w:id="0"/>
    </w:p>
    <w:p w:rsidR="00F858B6" w:rsidRPr="00C64BB1" w:rsidRDefault="00F858B6" w:rsidP="00F858B6">
      <w:pPr>
        <w:spacing w:line="360" w:lineRule="auto"/>
      </w:pPr>
      <w:r w:rsidRPr="00C64BB1">
        <w:t xml:space="preserve">2.3 </w:t>
      </w:r>
      <w:proofErr w:type="gramStart"/>
      <w:r w:rsidRPr="00C64BB1">
        <w:t>a</w:t>
      </w:r>
      <w:proofErr w:type="gramEnd"/>
      <w:r w:rsidRPr="00C64BB1">
        <w:t xml:space="preserve"> Interval</w:t>
      </w:r>
      <w:r w:rsidRPr="00C64BB1">
        <w:tab/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Nominal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Ordinal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e</w:t>
      </w:r>
      <w:proofErr w:type="gramEnd"/>
      <w:r w:rsidRPr="00C64BB1">
        <w:t xml:space="preserve"> Interval</w:t>
      </w:r>
    </w:p>
    <w:p w:rsidR="00F858B6" w:rsidRPr="00C64BB1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 xml:space="preserve">2.4 </w:t>
      </w:r>
      <w:proofErr w:type="gramStart"/>
      <w:r w:rsidRPr="00C64BB1">
        <w:t>a</w:t>
      </w:r>
      <w:proofErr w:type="gramEnd"/>
      <w:r w:rsidRPr="00C64BB1">
        <w:t xml:space="preserve"> Nominal</w:t>
      </w:r>
      <w:r w:rsidRPr="00C64BB1">
        <w:tab/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 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e</w:t>
      </w:r>
      <w:proofErr w:type="gramEnd"/>
      <w:r w:rsidRPr="00C64BB1">
        <w:t xml:space="preserve"> Ordinal</w:t>
      </w:r>
    </w:p>
    <w:p w:rsidR="00F858B6" w:rsidRPr="00C64BB1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 xml:space="preserve">2.5 </w:t>
      </w:r>
      <w:proofErr w:type="gramStart"/>
      <w:r w:rsidRPr="00C64BB1">
        <w:t>a</w:t>
      </w:r>
      <w:proofErr w:type="gramEnd"/>
      <w:r w:rsidRPr="00C64BB1">
        <w:t xml:space="preserve"> Interval</w:t>
      </w:r>
      <w:r w:rsidRPr="00C64BB1">
        <w:tab/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Interval</w:t>
      </w:r>
      <w:r w:rsidRPr="00C64BB1">
        <w:tab/>
      </w:r>
    </w:p>
    <w:p w:rsidR="00F858B6" w:rsidRDefault="00F858B6" w:rsidP="00F858B6">
      <w:pPr>
        <w:spacing w:line="360" w:lineRule="auto"/>
      </w:pPr>
      <w:proofErr w:type="gramStart"/>
      <w:r w:rsidRPr="00C64BB1">
        <w:t>e</w:t>
      </w:r>
      <w:proofErr w:type="gramEnd"/>
      <w:r w:rsidRPr="00C64BB1">
        <w:t xml:space="preserve"> Nominal</w:t>
      </w:r>
    </w:p>
    <w:p w:rsidR="00F858B6" w:rsidRPr="00C64BB1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 xml:space="preserve">2.6 </w:t>
      </w:r>
      <w:proofErr w:type="gramStart"/>
      <w:r w:rsidRPr="00C64BB1">
        <w:t>a</w:t>
      </w:r>
      <w:proofErr w:type="gramEnd"/>
      <w:r w:rsidRPr="00C64BB1">
        <w:t xml:space="preserve"> Interval</w:t>
      </w:r>
      <w:r w:rsidRPr="00C64BB1">
        <w:tab/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Interval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Ordinal</w:t>
      </w:r>
      <w:r w:rsidRPr="00C64BB1">
        <w:tab/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e</w:t>
      </w:r>
      <w:proofErr w:type="gramEnd"/>
      <w:r w:rsidRPr="00C64BB1">
        <w:t xml:space="preserve"> Interval</w:t>
      </w:r>
    </w:p>
    <w:p w:rsidR="00541D29" w:rsidRDefault="00541D29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 xml:space="preserve">2.7 </w:t>
      </w:r>
      <w:proofErr w:type="gramStart"/>
      <w:r w:rsidRPr="00C64BB1">
        <w:t>a</w:t>
      </w:r>
      <w:proofErr w:type="gramEnd"/>
      <w:r w:rsidRPr="00C64BB1">
        <w:t xml:space="preserve"> Interval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Nominal</w:t>
      </w:r>
    </w:p>
    <w:p w:rsidR="00F858B6" w:rsidRPr="00C64BB1" w:rsidRDefault="00F858B6" w:rsidP="00F858B6">
      <w:pPr>
        <w:spacing w:line="360" w:lineRule="auto"/>
      </w:pPr>
      <w:r w:rsidRPr="00C64BB1">
        <w:t>c. Nominal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lastRenderedPageBreak/>
        <w:t>d</w:t>
      </w:r>
      <w:proofErr w:type="gramEnd"/>
      <w:r w:rsidRPr="00C64BB1">
        <w:t xml:space="preserve"> Interval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e</w:t>
      </w:r>
      <w:proofErr w:type="gramEnd"/>
      <w:r w:rsidRPr="00C64BB1">
        <w:t xml:space="preserve"> </w:t>
      </w:r>
      <w:r>
        <w:t>Interval</w:t>
      </w:r>
    </w:p>
    <w:p w:rsidR="00F858B6" w:rsidRDefault="00F858B6" w:rsidP="00F858B6">
      <w:pPr>
        <w:spacing w:line="360" w:lineRule="auto"/>
      </w:pPr>
      <w:proofErr w:type="gramStart"/>
      <w:r>
        <w:t>f</w:t>
      </w:r>
      <w:proofErr w:type="gramEnd"/>
      <w:r>
        <w:t xml:space="preserve"> Ordinal</w:t>
      </w:r>
    </w:p>
    <w:p w:rsidR="00F858B6" w:rsidRPr="00C64BB1" w:rsidRDefault="00F858B6" w:rsidP="00F858B6"/>
    <w:p w:rsidR="00F858B6" w:rsidRPr="00C64BB1" w:rsidRDefault="00F858B6" w:rsidP="00F858B6">
      <w:pPr>
        <w:spacing w:line="360" w:lineRule="auto"/>
      </w:pPr>
      <w:r w:rsidRPr="00C64BB1">
        <w:t xml:space="preserve">2.8 </w:t>
      </w:r>
      <w:proofErr w:type="gramStart"/>
      <w:r w:rsidRPr="00C64BB1">
        <w:t>a</w:t>
      </w:r>
      <w:proofErr w:type="gramEnd"/>
      <w:r w:rsidRPr="00C64BB1">
        <w:t xml:space="preserve"> Interval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Ordinal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d</w:t>
      </w:r>
      <w:proofErr w:type="gramEnd"/>
      <w:r w:rsidRPr="00C64BB1">
        <w:t xml:space="preserve"> Ordinal</w:t>
      </w:r>
    </w:p>
    <w:p w:rsidR="00F858B6" w:rsidRPr="00C64BB1" w:rsidRDefault="00F858B6" w:rsidP="00F858B6"/>
    <w:p w:rsidR="00F858B6" w:rsidRPr="00C64BB1" w:rsidRDefault="00F858B6" w:rsidP="00F858B6">
      <w:pPr>
        <w:spacing w:line="360" w:lineRule="auto"/>
      </w:pPr>
      <w:r w:rsidRPr="00C64BB1">
        <w:t xml:space="preserve">2.9 </w:t>
      </w:r>
      <w:proofErr w:type="gramStart"/>
      <w:r w:rsidRPr="00C64BB1">
        <w:t>a</w:t>
      </w:r>
      <w:proofErr w:type="gramEnd"/>
      <w:r w:rsidRPr="00C64BB1">
        <w:t xml:space="preserve"> Interval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Nominal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Nominal</w:t>
      </w:r>
    </w:p>
    <w:p w:rsidR="00F858B6" w:rsidRPr="00C64BB1" w:rsidRDefault="00F858B6" w:rsidP="00F858B6"/>
    <w:p w:rsidR="00F858B6" w:rsidRPr="00C64BB1" w:rsidRDefault="00F858B6" w:rsidP="00F858B6">
      <w:pPr>
        <w:spacing w:line="360" w:lineRule="auto"/>
      </w:pPr>
      <w:r w:rsidRPr="00C64BB1">
        <w:t xml:space="preserve">2.10 </w:t>
      </w:r>
      <w:proofErr w:type="gramStart"/>
      <w:r w:rsidRPr="00C64BB1">
        <w:t>a</w:t>
      </w:r>
      <w:proofErr w:type="gramEnd"/>
      <w:r w:rsidRPr="00C64BB1">
        <w:t xml:space="preserve"> Ordinal</w:t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b</w:t>
      </w:r>
      <w:proofErr w:type="gramEnd"/>
      <w:r w:rsidRPr="00C64BB1">
        <w:t xml:space="preserve"> Ordinal</w:t>
      </w:r>
    </w:p>
    <w:p w:rsidR="00F858B6" w:rsidRDefault="00F858B6" w:rsidP="00F858B6">
      <w:proofErr w:type="gramStart"/>
      <w:r w:rsidRPr="00C64BB1">
        <w:t>c</w:t>
      </w:r>
      <w:proofErr w:type="gramEnd"/>
      <w:r w:rsidRPr="00C64BB1">
        <w:t xml:space="preserve"> Ordinal</w:t>
      </w:r>
    </w:p>
    <w:p w:rsidR="00F858B6" w:rsidRDefault="00F858B6" w:rsidP="00F858B6"/>
    <w:p w:rsidR="00F858B6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>
        <w:t>2.11</w:t>
      </w:r>
    </w:p>
    <w:p w:rsidR="00F858B6" w:rsidRPr="00CD1B87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lastRenderedPageBreak/>
        <w:t>2.12</w:t>
      </w:r>
    </w:p>
    <w:p w:rsidR="00F858B6" w:rsidRPr="00C64BB1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5279136" cy="4223004"/>
            <wp:effectExtent l="12192" t="6096" r="4572" b="0"/>
            <wp:docPr id="8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>2.</w:t>
      </w:r>
      <w:r>
        <w:t>13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>
        <w:lastRenderedPageBreak/>
        <w:t>2.14</w:t>
      </w:r>
    </w:p>
    <w:p w:rsidR="00F858B6" w:rsidRPr="00C64BB1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3268980"/>
            <wp:effectExtent l="19050" t="0" r="0" b="0"/>
            <wp:docPr id="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 xml:space="preserve">2.15 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lastRenderedPageBreak/>
        <w:t>2.</w:t>
      </w:r>
      <w:r>
        <w:t>16</w:t>
      </w:r>
    </w:p>
    <w:p w:rsidR="00F858B6" w:rsidRPr="00C64BB1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t>2.</w:t>
      </w:r>
      <w:r>
        <w:t>17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5490972" cy="2744724"/>
            <wp:effectExtent l="12192" t="6096" r="6096" b="0"/>
            <wp:docPr id="8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lastRenderedPageBreak/>
        <w:t xml:space="preserve">2.18 </w:t>
      </w:r>
    </w:p>
    <w:p w:rsidR="00F858B6" w:rsidRDefault="00A04F03" w:rsidP="00F858B6">
      <w:pPr>
        <w:spacing w:line="360" w:lineRule="auto"/>
      </w:pPr>
      <w:r w:rsidRPr="00A04F03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2.19</w:t>
      </w:r>
    </w:p>
    <w:p w:rsidR="00F858B6" w:rsidRDefault="009B526A" w:rsidP="00F858B6">
      <w:pPr>
        <w:spacing w:line="360" w:lineRule="auto"/>
      </w:pPr>
      <w:r>
        <w:t>Residential</w:t>
      </w:r>
    </w:p>
    <w:p w:rsidR="009B526A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724400" cy="3543300"/>
            <wp:effectExtent l="19050" t="0" r="0" b="0"/>
            <wp:docPr id="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95ACD" w:rsidRDefault="00F95ACD" w:rsidP="00F858B6">
      <w:pPr>
        <w:spacing w:line="360" w:lineRule="auto"/>
      </w:pPr>
    </w:p>
    <w:p w:rsidR="00F95ACD" w:rsidRDefault="009B526A" w:rsidP="00F858B6">
      <w:pPr>
        <w:spacing w:line="360" w:lineRule="auto"/>
      </w:pPr>
      <w:r>
        <w:lastRenderedPageBreak/>
        <w:t>Non-Residential</w:t>
      </w:r>
    </w:p>
    <w:p w:rsidR="009B526A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5318760" cy="3352800"/>
            <wp:effectExtent l="19050" t="0" r="0" b="0"/>
            <wp:docPr id="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CD" w:rsidRDefault="00F95ACD" w:rsidP="00F858B6">
      <w:pPr>
        <w:spacing w:line="360" w:lineRule="auto"/>
      </w:pPr>
    </w:p>
    <w:p w:rsidR="00F858B6" w:rsidRDefault="00F858B6" w:rsidP="00F858B6">
      <w:pPr>
        <w:spacing w:line="360" w:lineRule="auto"/>
      </w:pPr>
      <w:r w:rsidRPr="00C64BB1">
        <w:t>2.</w:t>
      </w:r>
      <w:r>
        <w:t xml:space="preserve">20 </w:t>
      </w:r>
      <w:proofErr w:type="gramStart"/>
      <w:r>
        <w:t>a</w:t>
      </w:r>
      <w:proofErr w:type="gramEnd"/>
      <w:r>
        <w:t>.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C64CC" w:rsidRDefault="002C64CC" w:rsidP="00F858B6">
      <w:pPr>
        <w:spacing w:line="360" w:lineRule="auto"/>
      </w:pPr>
    </w:p>
    <w:p w:rsidR="002C64CC" w:rsidRDefault="002C64CC" w:rsidP="00F858B6">
      <w:pPr>
        <w:spacing w:line="360" w:lineRule="auto"/>
      </w:pPr>
    </w:p>
    <w:p w:rsidR="002C64CC" w:rsidRDefault="002C64CC" w:rsidP="00F858B6">
      <w:pPr>
        <w:spacing w:line="360" w:lineRule="auto"/>
      </w:pPr>
    </w:p>
    <w:p w:rsidR="002C64CC" w:rsidRDefault="002C64CC" w:rsidP="00F858B6">
      <w:pPr>
        <w:spacing w:line="360" w:lineRule="auto"/>
      </w:pPr>
    </w:p>
    <w:p w:rsidR="002C64CC" w:rsidRDefault="002C64CC" w:rsidP="00F858B6">
      <w:pPr>
        <w:spacing w:line="360" w:lineRule="auto"/>
      </w:pPr>
    </w:p>
    <w:p w:rsidR="002C64CC" w:rsidRDefault="002C64CC" w:rsidP="00F858B6">
      <w:pPr>
        <w:spacing w:line="360" w:lineRule="auto"/>
      </w:pPr>
    </w:p>
    <w:p w:rsidR="00F858B6" w:rsidRDefault="00F858B6" w:rsidP="00F858B6">
      <w:pPr>
        <w:spacing w:line="360" w:lineRule="auto"/>
      </w:pPr>
      <w:proofErr w:type="gramStart"/>
      <w:r>
        <w:lastRenderedPageBreak/>
        <w:t>b</w:t>
      </w:r>
      <w:proofErr w:type="gramEnd"/>
      <w:r>
        <w:t>.</w:t>
      </w:r>
    </w:p>
    <w:p w:rsidR="00F1249F" w:rsidRPr="00C64BB1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608576" cy="4777740"/>
            <wp:effectExtent l="12192" t="6096" r="4572" b="1524"/>
            <wp:docPr id="8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705746" w:rsidP="00F858B6">
      <w:pPr>
        <w:spacing w:line="360" w:lineRule="auto"/>
      </w:pPr>
      <w:r>
        <w:t xml:space="preserve">c. </w:t>
      </w:r>
      <w:r w:rsidR="00F858B6">
        <w:t>The bar chart provides the frequencies and the pie chart displays the relative frequencies.</w:t>
      </w:r>
    </w:p>
    <w:p w:rsidR="00F858B6" w:rsidRDefault="00F858B6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56F48" w:rsidRDefault="00F56F48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 w:rsidRPr="00C64BB1">
        <w:lastRenderedPageBreak/>
        <w:t>2.</w:t>
      </w:r>
      <w:r>
        <w:t>21</w:t>
      </w:r>
    </w:p>
    <w:p w:rsidR="00F858B6" w:rsidRDefault="006E5BB2" w:rsidP="00F858B6">
      <w:pPr>
        <w:spacing w:line="360" w:lineRule="auto"/>
      </w:pPr>
      <w:r>
        <w:t>Males</w:t>
      </w:r>
    </w:p>
    <w:p w:rsidR="006E5BB2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6E5BB2" w:rsidRDefault="006E5BB2" w:rsidP="00F858B6">
      <w:pPr>
        <w:spacing w:line="360" w:lineRule="auto"/>
      </w:pPr>
    </w:p>
    <w:p w:rsidR="006E5BB2" w:rsidRDefault="006E5BB2" w:rsidP="00F858B6">
      <w:pPr>
        <w:spacing w:line="360" w:lineRule="auto"/>
      </w:pPr>
      <w:r>
        <w:t>Females</w:t>
      </w:r>
    </w:p>
    <w:p w:rsidR="006E5BB2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B2" w:rsidRDefault="006E5BB2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F858B6" w:rsidRPr="00C64BB1" w:rsidRDefault="00F858B6" w:rsidP="00F858B6">
      <w:pPr>
        <w:spacing w:line="360" w:lineRule="auto"/>
      </w:pPr>
      <w:r>
        <w:t>2.22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2.23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6A4246" w:rsidRDefault="006A4246" w:rsidP="00F858B6">
      <w:pPr>
        <w:spacing w:line="360" w:lineRule="auto"/>
      </w:pPr>
      <w:r>
        <w:t>2.24</w:t>
      </w:r>
    </w:p>
    <w:p w:rsidR="006A4246" w:rsidRPr="00952DEB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46" w:rsidRDefault="006A4246" w:rsidP="00F858B6">
      <w:pPr>
        <w:spacing w:line="360" w:lineRule="auto"/>
      </w:pPr>
    </w:p>
    <w:p w:rsidR="00096D4F" w:rsidRDefault="00096D4F" w:rsidP="00F858B6">
      <w:pPr>
        <w:spacing w:line="360" w:lineRule="auto"/>
      </w:pPr>
      <w:r>
        <w:t>2.25</w:t>
      </w:r>
    </w:p>
    <w:p w:rsidR="00096D4F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5334000" cy="2766060"/>
            <wp:effectExtent l="19050" t="0" r="0" b="0"/>
            <wp:docPr id="3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22" w:rsidRDefault="00C77022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C77022" w:rsidRPr="00C23481" w:rsidRDefault="00C23481" w:rsidP="00F858B6">
      <w:pPr>
        <w:spacing w:line="360" w:lineRule="auto"/>
      </w:pPr>
      <w:r w:rsidRPr="00C23481">
        <w:lastRenderedPageBreak/>
        <w:t>2.26</w:t>
      </w:r>
    </w:p>
    <w:p w:rsidR="00C77022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22" w:rsidRDefault="00C77022" w:rsidP="00F858B6">
      <w:pPr>
        <w:spacing w:line="360" w:lineRule="auto"/>
      </w:pPr>
    </w:p>
    <w:p w:rsidR="00C77022" w:rsidRPr="00C23481" w:rsidRDefault="00C23481" w:rsidP="00F858B6">
      <w:pPr>
        <w:spacing w:line="360" w:lineRule="auto"/>
      </w:pPr>
      <w:r w:rsidRPr="00C23481">
        <w:t>2.27</w:t>
      </w:r>
    </w:p>
    <w:p w:rsidR="00802C89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22" w:rsidRDefault="00C77022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C77022" w:rsidRPr="00C23481" w:rsidRDefault="00C23481" w:rsidP="00F858B6">
      <w:pPr>
        <w:spacing w:line="360" w:lineRule="auto"/>
      </w:pPr>
      <w:r w:rsidRPr="00C23481">
        <w:lastRenderedPageBreak/>
        <w:t>2.28</w:t>
      </w:r>
    </w:p>
    <w:p w:rsidR="007E391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22" w:rsidRDefault="00C77022" w:rsidP="00F858B6">
      <w:pPr>
        <w:spacing w:line="360" w:lineRule="auto"/>
      </w:pPr>
    </w:p>
    <w:p w:rsidR="00C26B0A" w:rsidRDefault="007E3916" w:rsidP="00C26B0A">
      <w:pPr>
        <w:spacing w:line="360" w:lineRule="auto"/>
      </w:pPr>
      <w:proofErr w:type="gramStart"/>
      <w:r w:rsidRPr="00C23481">
        <w:t>2.</w:t>
      </w:r>
      <w:r w:rsidR="00C23481" w:rsidRPr="00C23481">
        <w:t>29</w:t>
      </w:r>
      <w:r w:rsidR="00C26B0A">
        <w:t xml:space="preserve">  a</w:t>
      </w:r>
      <w:proofErr w:type="gramEnd"/>
      <w:r w:rsidR="00C26B0A">
        <w:tab/>
      </w:r>
      <w:r w:rsidR="00C26B0A">
        <w:rPr>
          <w:u w:val="single"/>
        </w:rPr>
        <w:t xml:space="preserve">Newspaper      </w:t>
      </w:r>
      <w:r w:rsidR="00C26B0A" w:rsidRPr="00DD0ED0">
        <w:rPr>
          <w:u w:val="single"/>
        </w:rPr>
        <w:t>Frequency</w:t>
      </w:r>
      <w:r w:rsidR="00C26B0A" w:rsidRPr="00DD0ED0">
        <w:rPr>
          <w:u w:val="single"/>
        </w:rPr>
        <w:tab/>
      </w:r>
      <w:r w:rsidR="00C26B0A">
        <w:rPr>
          <w:u w:val="single"/>
        </w:rPr>
        <w:t xml:space="preserve">      </w:t>
      </w:r>
      <w:r w:rsidR="00C26B0A" w:rsidRPr="00DD0ED0">
        <w:rPr>
          <w:u w:val="single"/>
        </w:rPr>
        <w:t>Relative Frequency</w:t>
      </w:r>
    </w:p>
    <w:p w:rsidR="00C26B0A" w:rsidRDefault="00C26B0A" w:rsidP="00C26B0A">
      <w:pPr>
        <w:spacing w:line="360" w:lineRule="auto"/>
      </w:pPr>
      <w:r>
        <w:tab/>
        <w:t>Daily News</w:t>
      </w:r>
      <w:r>
        <w:tab/>
        <w:t>141</w:t>
      </w:r>
      <w:r>
        <w:tab/>
      </w:r>
      <w:r>
        <w:tab/>
        <w:t>.39</w:t>
      </w:r>
    </w:p>
    <w:p w:rsidR="00C26B0A" w:rsidRDefault="00C26B0A" w:rsidP="00C26B0A">
      <w:pPr>
        <w:spacing w:line="360" w:lineRule="auto"/>
      </w:pPr>
      <w:r>
        <w:tab/>
        <w:t>Post</w:t>
      </w:r>
      <w:r>
        <w:tab/>
      </w:r>
      <w:r>
        <w:tab/>
        <w:t>128</w:t>
      </w:r>
      <w:r>
        <w:tab/>
      </w:r>
      <w:r>
        <w:tab/>
        <w:t>.36</w:t>
      </w:r>
    </w:p>
    <w:p w:rsidR="00C26B0A" w:rsidRDefault="00C26B0A" w:rsidP="00C26B0A">
      <w:pPr>
        <w:spacing w:line="360" w:lineRule="auto"/>
      </w:pPr>
      <w:r>
        <w:tab/>
        <w:t>Times</w:t>
      </w:r>
      <w:r>
        <w:tab/>
      </w:r>
      <w:r>
        <w:tab/>
        <w:t>32</w:t>
      </w:r>
      <w:r>
        <w:tab/>
      </w:r>
      <w:r>
        <w:tab/>
        <w:t>.09</w:t>
      </w:r>
    </w:p>
    <w:p w:rsidR="00C26B0A" w:rsidRDefault="00C26B0A" w:rsidP="00C26B0A">
      <w:pPr>
        <w:spacing w:line="360" w:lineRule="auto"/>
      </w:pPr>
      <w:r>
        <w:tab/>
        <w:t>WSJ</w:t>
      </w:r>
      <w:r>
        <w:tab/>
      </w:r>
      <w:r>
        <w:tab/>
        <w:t>59</w:t>
      </w:r>
      <w:r>
        <w:tab/>
      </w:r>
      <w:r>
        <w:tab/>
        <w:t>.16</w:t>
      </w:r>
    </w:p>
    <w:p w:rsidR="00C23481" w:rsidRDefault="00C23481" w:rsidP="00F858B6">
      <w:pPr>
        <w:spacing w:line="360" w:lineRule="auto"/>
      </w:pPr>
    </w:p>
    <w:p w:rsidR="00C26B0A" w:rsidRDefault="00C26B0A" w:rsidP="00F858B6">
      <w:pPr>
        <w:spacing w:line="360" w:lineRule="auto"/>
      </w:pPr>
      <w:proofErr w:type="gramStart"/>
      <w:r>
        <w:t>b</w:t>
      </w:r>
      <w:proofErr w:type="gramEnd"/>
    </w:p>
    <w:p w:rsidR="007E391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16" w:rsidRDefault="007E391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The Daily News and the Post dominate the market</w:t>
      </w:r>
    </w:p>
    <w:p w:rsidR="00F858B6" w:rsidRPr="00891EFE" w:rsidRDefault="00F858B6" w:rsidP="00F858B6">
      <w:pPr>
        <w:spacing w:line="360" w:lineRule="auto"/>
        <w:rPr>
          <w:u w:val="single"/>
        </w:rPr>
      </w:pPr>
      <w:r w:rsidRPr="00C23481">
        <w:lastRenderedPageBreak/>
        <w:t>2.</w:t>
      </w:r>
      <w:r w:rsidR="002C64CC" w:rsidRPr="00C23481">
        <w:t>3</w:t>
      </w:r>
      <w:r w:rsidR="00C23481" w:rsidRPr="00C23481">
        <w:t>0</w:t>
      </w:r>
      <w:r w:rsidRPr="00C23481">
        <w:t>a</w:t>
      </w:r>
      <w:r w:rsidRPr="00C64BB1">
        <w:t xml:space="preserve"> </w:t>
      </w:r>
      <w:r>
        <w:tab/>
      </w:r>
      <w:r w:rsidRPr="00891EFE">
        <w:rPr>
          <w:u w:val="single"/>
        </w:rPr>
        <w:t>Degree</w:t>
      </w:r>
      <w:r w:rsidRPr="00891EFE">
        <w:rPr>
          <w:u w:val="single"/>
        </w:rPr>
        <w:tab/>
      </w:r>
      <w:r>
        <w:rPr>
          <w:u w:val="single"/>
        </w:rPr>
        <w:t xml:space="preserve">       </w:t>
      </w:r>
      <w:r w:rsidRPr="00891EFE">
        <w:rPr>
          <w:u w:val="single"/>
        </w:rPr>
        <w:t>Frequency</w:t>
      </w:r>
    </w:p>
    <w:p w:rsidR="00F858B6" w:rsidRDefault="00F858B6" w:rsidP="00F858B6">
      <w:pPr>
        <w:spacing w:line="360" w:lineRule="auto"/>
      </w:pPr>
      <w:r>
        <w:tab/>
        <w:t>BA</w:t>
      </w:r>
      <w:r>
        <w:tab/>
      </w:r>
      <w:r>
        <w:tab/>
        <w:t>88</w:t>
      </w:r>
    </w:p>
    <w:p w:rsidR="00F858B6" w:rsidRDefault="00F858B6" w:rsidP="00F858B6">
      <w:pPr>
        <w:spacing w:line="360" w:lineRule="auto"/>
      </w:pPr>
      <w:r>
        <w:tab/>
        <w:t>BBA</w:t>
      </w:r>
      <w:r>
        <w:tab/>
      </w:r>
      <w:r>
        <w:tab/>
        <w:t>37</w:t>
      </w:r>
    </w:p>
    <w:p w:rsidR="00F858B6" w:rsidRDefault="00F858B6" w:rsidP="00F858B6">
      <w:pPr>
        <w:spacing w:line="360" w:lineRule="auto"/>
      </w:pPr>
      <w:r>
        <w:tab/>
        <w:t>B Eng</w:t>
      </w:r>
      <w:r>
        <w:tab/>
      </w:r>
      <w:r>
        <w:tab/>
        <w:t>51</w:t>
      </w:r>
    </w:p>
    <w:p w:rsidR="00F858B6" w:rsidRDefault="00F858B6" w:rsidP="00F858B6">
      <w:pPr>
        <w:spacing w:line="360" w:lineRule="auto"/>
      </w:pPr>
      <w:r>
        <w:tab/>
        <w:t>B Sc</w:t>
      </w:r>
      <w:r>
        <w:tab/>
      </w:r>
      <w:r>
        <w:tab/>
        <w:t>24</w:t>
      </w:r>
    </w:p>
    <w:p w:rsidR="00F858B6" w:rsidRDefault="00F858B6" w:rsidP="00F858B6">
      <w:pPr>
        <w:spacing w:line="360" w:lineRule="auto"/>
      </w:pPr>
      <w:r>
        <w:tab/>
        <w:t>Other</w:t>
      </w:r>
      <w:r>
        <w:tab/>
      </w:r>
      <w:r>
        <w:tab/>
        <w:t xml:space="preserve">30 </w:t>
      </w:r>
    </w:p>
    <w:p w:rsidR="00F858B6" w:rsidRDefault="0033254F" w:rsidP="00F858B6">
      <w:pPr>
        <w:spacing w:line="360" w:lineRule="auto"/>
      </w:pPr>
      <w:proofErr w:type="gramStart"/>
      <w:r>
        <w:t>b</w:t>
      </w:r>
      <w:proofErr w:type="gramEnd"/>
      <w:r>
        <w:t>.</w:t>
      </w:r>
    </w:p>
    <w:p w:rsidR="0033254F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81" w:rsidRDefault="00C23481" w:rsidP="00F858B6">
      <w:pPr>
        <w:spacing w:line="360" w:lineRule="auto"/>
      </w:pPr>
    </w:p>
    <w:p w:rsidR="0033254F" w:rsidRDefault="0033254F" w:rsidP="00F858B6">
      <w:pPr>
        <w:spacing w:line="360" w:lineRule="auto"/>
      </w:pPr>
      <w:proofErr w:type="gramStart"/>
      <w:r>
        <w:t>c</w:t>
      </w:r>
      <w:proofErr w:type="gramEnd"/>
    </w:p>
    <w:p w:rsidR="0033254F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 xml:space="preserve">d. About 4 </w:t>
      </w:r>
      <w:r w:rsidR="00002B97">
        <w:t>applicants in</w:t>
      </w:r>
      <w:r>
        <w:t xml:space="preserve"> 10 have the B</w:t>
      </w:r>
      <w:r w:rsidRPr="00C64BB1">
        <w:t>A degree, about one-</w:t>
      </w:r>
      <w:r>
        <w:t>fifth</w:t>
      </w:r>
      <w:r w:rsidRPr="00C64BB1">
        <w:t xml:space="preserve"> have a B</w:t>
      </w:r>
      <w:r>
        <w:t>Eng</w:t>
      </w:r>
      <w:r w:rsidRPr="00C64BB1">
        <w:t xml:space="preserve">. </w:t>
      </w:r>
      <w:proofErr w:type="gramStart"/>
      <w:r w:rsidRPr="00C64BB1">
        <w:t>and</w:t>
      </w:r>
      <w:proofErr w:type="gramEnd"/>
      <w:r w:rsidRPr="00C64BB1">
        <w:t xml:space="preserve"> one-</w:t>
      </w:r>
      <w:r>
        <w:t>six</w:t>
      </w:r>
      <w:r w:rsidRPr="00C64BB1">
        <w:t>th have a B</w:t>
      </w:r>
      <w:r>
        <w:t>BA</w:t>
      </w:r>
      <w:r w:rsidRPr="00C64BB1">
        <w:t>.</w:t>
      </w:r>
    </w:p>
    <w:p w:rsidR="005967B9" w:rsidRPr="00C23481" w:rsidRDefault="005967B9" w:rsidP="00F858B6">
      <w:pPr>
        <w:spacing w:line="360" w:lineRule="auto"/>
      </w:pPr>
      <w:r w:rsidRPr="00C23481">
        <w:lastRenderedPageBreak/>
        <w:t>2.3</w:t>
      </w:r>
      <w:r w:rsidR="00C23481" w:rsidRPr="00C23481">
        <w:t>1</w:t>
      </w:r>
      <w:r w:rsidRPr="00C23481">
        <w:t>a</w:t>
      </w:r>
    </w:p>
    <w:p w:rsidR="005967B9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81" w:rsidRDefault="00C23481" w:rsidP="00F858B6">
      <w:pPr>
        <w:spacing w:line="360" w:lineRule="auto"/>
      </w:pPr>
    </w:p>
    <w:p w:rsidR="005967B9" w:rsidRPr="00C64BB1" w:rsidRDefault="005967B9" w:rsidP="00F858B6">
      <w:pPr>
        <w:spacing w:line="360" w:lineRule="auto"/>
      </w:pPr>
      <w:proofErr w:type="gramStart"/>
      <w:r>
        <w:t>b</w:t>
      </w:r>
      <w:proofErr w:type="gramEnd"/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Pr="00C64BB1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Dell is most popular with 40% proportion, followed by other, 26%, IBM, 21% and Compaq, 13%.</w:t>
      </w:r>
    </w:p>
    <w:p w:rsidR="00F858B6" w:rsidRPr="00C64BB1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 w:rsidRPr="00C23481">
        <w:t>2.</w:t>
      </w:r>
      <w:r w:rsidR="00163A1E" w:rsidRPr="00C23481">
        <w:t>3</w:t>
      </w:r>
      <w:r w:rsidR="00C23481" w:rsidRPr="00C23481">
        <w:t>2</w:t>
      </w:r>
      <w:r w:rsidRPr="00C64BB1">
        <w:t xml:space="preserve"> </w:t>
      </w:r>
      <w:proofErr w:type="gramStart"/>
      <w:r w:rsidRPr="00C64BB1">
        <w:t>a</w:t>
      </w:r>
      <w:proofErr w:type="gramEnd"/>
      <w:r>
        <w:tab/>
      </w:r>
      <w:r w:rsidRPr="00580647">
        <w:rPr>
          <w:u w:val="single"/>
        </w:rPr>
        <w:t>Software</w:t>
      </w:r>
      <w:r>
        <w:rPr>
          <w:u w:val="single"/>
        </w:rPr>
        <w:t xml:space="preserve">       </w:t>
      </w:r>
      <w:r w:rsidRPr="00580647">
        <w:rPr>
          <w:u w:val="single"/>
        </w:rPr>
        <w:t>Frequency</w:t>
      </w:r>
    </w:p>
    <w:p w:rsidR="00F858B6" w:rsidRDefault="00F858B6" w:rsidP="00F858B6">
      <w:pPr>
        <w:spacing w:line="360" w:lineRule="auto"/>
      </w:pPr>
      <w:r>
        <w:tab/>
        <w:t>Excel</w:t>
      </w:r>
      <w:r>
        <w:tab/>
      </w:r>
      <w:r>
        <w:tab/>
        <w:t>34</w:t>
      </w:r>
    </w:p>
    <w:p w:rsidR="00F858B6" w:rsidRDefault="00F858B6" w:rsidP="00F858B6">
      <w:pPr>
        <w:spacing w:line="360" w:lineRule="auto"/>
      </w:pPr>
      <w:r>
        <w:tab/>
        <w:t>Minitab</w:t>
      </w:r>
      <w:r>
        <w:tab/>
      </w:r>
      <w:r>
        <w:tab/>
        <w:t>17</w:t>
      </w:r>
    </w:p>
    <w:p w:rsidR="00F858B6" w:rsidRDefault="00F858B6" w:rsidP="00F858B6">
      <w:pPr>
        <w:spacing w:line="360" w:lineRule="auto"/>
      </w:pPr>
      <w:r>
        <w:tab/>
        <w:t>SAS</w:t>
      </w:r>
      <w:r>
        <w:tab/>
      </w:r>
      <w:r>
        <w:tab/>
        <w:t>3</w:t>
      </w:r>
    </w:p>
    <w:p w:rsidR="00F858B6" w:rsidRDefault="00F858B6" w:rsidP="00F858B6">
      <w:pPr>
        <w:spacing w:line="360" w:lineRule="auto"/>
      </w:pPr>
      <w:r>
        <w:tab/>
        <w:t>SPSS</w:t>
      </w:r>
      <w:r>
        <w:tab/>
      </w:r>
      <w:r>
        <w:tab/>
        <w:t>4</w:t>
      </w:r>
    </w:p>
    <w:p w:rsidR="00F858B6" w:rsidRPr="00C64BB1" w:rsidRDefault="00F858B6" w:rsidP="00F858B6">
      <w:pPr>
        <w:spacing w:line="360" w:lineRule="auto"/>
      </w:pPr>
      <w:r>
        <w:tab/>
        <w:t>Other</w:t>
      </w:r>
      <w:r>
        <w:tab/>
      </w:r>
      <w:r>
        <w:tab/>
        <w:t>12</w:t>
      </w:r>
    </w:p>
    <w:p w:rsidR="00F858B6" w:rsidRDefault="00E57AEB" w:rsidP="00F858B6">
      <w:pPr>
        <w:spacing w:line="360" w:lineRule="auto"/>
      </w:pPr>
      <w:proofErr w:type="gramStart"/>
      <w:r>
        <w:lastRenderedPageBreak/>
        <w:t>b</w:t>
      </w:r>
      <w:proofErr w:type="gramEnd"/>
    </w:p>
    <w:p w:rsidR="00E57AEB" w:rsidRPr="00C64BB1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AC4" w:rsidRDefault="00204AC4" w:rsidP="00F858B6">
      <w:pPr>
        <w:spacing w:line="360" w:lineRule="auto"/>
      </w:pPr>
    </w:p>
    <w:p w:rsidR="00F858B6" w:rsidRDefault="00F858B6" w:rsidP="00F858B6">
      <w:pPr>
        <w:spacing w:line="360" w:lineRule="auto"/>
      </w:pPr>
      <w:proofErr w:type="gramStart"/>
      <w:r w:rsidRPr="00C64BB1">
        <w:t>c</w:t>
      </w:r>
      <w:proofErr w:type="gramEnd"/>
      <w:r w:rsidRPr="00C64BB1">
        <w:t xml:space="preserve"> Excel is the choice of about half the sample, one-quarter have opted for Minitab, and a small fraction chose SAS and SPSS.</w:t>
      </w:r>
    </w:p>
    <w:p w:rsidR="00F858B6" w:rsidRDefault="00F858B6" w:rsidP="00F858B6">
      <w:pPr>
        <w:spacing w:line="360" w:lineRule="auto"/>
      </w:pPr>
    </w:p>
    <w:p w:rsidR="00C23481" w:rsidRPr="00C23481" w:rsidRDefault="00C23481" w:rsidP="00C23481">
      <w:pPr>
        <w:spacing w:line="360" w:lineRule="auto"/>
      </w:pPr>
      <w:r w:rsidRPr="00C23481">
        <w:t>2.33</w:t>
      </w:r>
    </w:p>
    <w:p w:rsidR="00C23481" w:rsidRDefault="00B27E34" w:rsidP="00C23481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81" w:rsidRDefault="00C23481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BC4E79" w:rsidRDefault="00BC4E79" w:rsidP="00F858B6">
      <w:pPr>
        <w:spacing w:line="360" w:lineRule="auto"/>
      </w:pPr>
    </w:p>
    <w:p w:rsidR="00163A1E" w:rsidRDefault="00163A1E" w:rsidP="00F858B6">
      <w:pPr>
        <w:spacing w:line="360" w:lineRule="auto"/>
      </w:pPr>
      <w:r>
        <w:lastRenderedPageBreak/>
        <w:t>2.34</w:t>
      </w:r>
    </w:p>
    <w:p w:rsidR="00163A1E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8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858B6" w:rsidRDefault="00F858B6" w:rsidP="00204AC4">
      <w:pPr>
        <w:spacing w:line="360" w:lineRule="auto"/>
      </w:pPr>
    </w:p>
    <w:p w:rsidR="00163A1E" w:rsidRDefault="00163A1E" w:rsidP="00204AC4">
      <w:pPr>
        <w:spacing w:line="360" w:lineRule="auto"/>
      </w:pPr>
      <w:r>
        <w:t>Three out of four Americans are White. Note that the survey did not separate Hispanics.</w:t>
      </w:r>
    </w:p>
    <w:p w:rsidR="00204AC4" w:rsidRDefault="00204AC4" w:rsidP="00204AC4">
      <w:pPr>
        <w:spacing w:line="360" w:lineRule="auto"/>
      </w:pPr>
    </w:p>
    <w:p w:rsidR="00163A1E" w:rsidRDefault="00163A1E" w:rsidP="00204AC4">
      <w:pPr>
        <w:spacing w:line="360" w:lineRule="auto"/>
      </w:pPr>
      <w:r>
        <w:t>2.35</w:t>
      </w:r>
    </w:p>
    <w:p w:rsidR="00163A1E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89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04AC4" w:rsidRDefault="00204AC4" w:rsidP="00204AC4">
      <w:pPr>
        <w:spacing w:line="360" w:lineRule="auto"/>
      </w:pPr>
    </w:p>
    <w:p w:rsidR="00204AC4" w:rsidRDefault="0042592D" w:rsidP="00204AC4">
      <w:pPr>
        <w:spacing w:line="360" w:lineRule="auto"/>
      </w:pPr>
      <w:r>
        <w:t xml:space="preserve">Half of American adults finished high school only. </w:t>
      </w:r>
      <w:r w:rsidR="00CD53CF">
        <w:t>More than</w:t>
      </w:r>
      <w:r>
        <w:t xml:space="preserve"> one-third received some kind of post-secondary education.</w:t>
      </w:r>
    </w:p>
    <w:p w:rsidR="00E72919" w:rsidRDefault="00E72919" w:rsidP="00204AC4">
      <w:pPr>
        <w:spacing w:line="360" w:lineRule="auto"/>
      </w:pPr>
    </w:p>
    <w:p w:rsidR="00622862" w:rsidRDefault="00622862" w:rsidP="00204AC4">
      <w:pPr>
        <w:spacing w:line="360" w:lineRule="auto"/>
      </w:pPr>
    </w:p>
    <w:p w:rsidR="00622862" w:rsidRDefault="00622862" w:rsidP="00204AC4">
      <w:pPr>
        <w:spacing w:line="360" w:lineRule="auto"/>
      </w:pPr>
    </w:p>
    <w:p w:rsidR="00622862" w:rsidRDefault="00622862" w:rsidP="00204AC4">
      <w:pPr>
        <w:spacing w:line="360" w:lineRule="auto"/>
      </w:pPr>
    </w:p>
    <w:p w:rsidR="00E72919" w:rsidRDefault="0042592D" w:rsidP="00204AC4">
      <w:pPr>
        <w:spacing w:line="360" w:lineRule="auto"/>
      </w:pPr>
      <w:r>
        <w:lastRenderedPageBreak/>
        <w:t>2.36</w:t>
      </w:r>
    </w:p>
    <w:p w:rsidR="0042592D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08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42592D" w:rsidRDefault="0042592D" w:rsidP="00204AC4">
      <w:pPr>
        <w:spacing w:line="360" w:lineRule="auto"/>
      </w:pPr>
    </w:p>
    <w:p w:rsidR="0042592D" w:rsidRDefault="00B744C6" w:rsidP="00204AC4">
      <w:pPr>
        <w:spacing w:line="360" w:lineRule="auto"/>
      </w:pPr>
      <w:r>
        <w:t>Almost half the sample is married and about one out of four were never married.</w:t>
      </w:r>
    </w:p>
    <w:p w:rsidR="0042592D" w:rsidRDefault="0042592D" w:rsidP="00204AC4">
      <w:pPr>
        <w:spacing w:line="360" w:lineRule="auto"/>
      </w:pPr>
    </w:p>
    <w:p w:rsidR="00E72919" w:rsidRDefault="00E72919" w:rsidP="00204AC4">
      <w:pPr>
        <w:spacing w:line="360" w:lineRule="auto"/>
      </w:pPr>
    </w:p>
    <w:p w:rsidR="00E72919" w:rsidRDefault="00CD2281" w:rsidP="00204AC4">
      <w:pPr>
        <w:spacing w:line="360" w:lineRule="auto"/>
      </w:pPr>
      <w:r>
        <w:t>2.37</w:t>
      </w:r>
    </w:p>
    <w:p w:rsidR="009A5D62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06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4457F" w:rsidRDefault="00E4457F" w:rsidP="00204AC4">
      <w:pPr>
        <w:spacing w:line="360" w:lineRule="auto"/>
      </w:pPr>
    </w:p>
    <w:p w:rsidR="00CD2281" w:rsidRDefault="00E4457F" w:rsidP="00204AC4">
      <w:pPr>
        <w:spacing w:line="360" w:lineRule="auto"/>
      </w:pPr>
      <w:r>
        <w:t>Nine of out of 10 Americans classify themselves as middle or working class.</w:t>
      </w:r>
    </w:p>
    <w:p w:rsidR="00E72919" w:rsidRDefault="00E72919" w:rsidP="00204AC4">
      <w:pPr>
        <w:spacing w:line="360" w:lineRule="auto"/>
      </w:pPr>
    </w:p>
    <w:p w:rsidR="009A5D62" w:rsidRDefault="009A5D62" w:rsidP="00204AC4">
      <w:pPr>
        <w:spacing w:line="360" w:lineRule="auto"/>
      </w:pPr>
    </w:p>
    <w:p w:rsidR="009A5D62" w:rsidRDefault="009A5D62" w:rsidP="00204AC4">
      <w:pPr>
        <w:spacing w:line="360" w:lineRule="auto"/>
      </w:pPr>
    </w:p>
    <w:p w:rsidR="009A5D62" w:rsidRDefault="009A5D62" w:rsidP="00204AC4">
      <w:pPr>
        <w:spacing w:line="360" w:lineRule="auto"/>
      </w:pPr>
    </w:p>
    <w:p w:rsidR="009A5D62" w:rsidRDefault="009A5D62" w:rsidP="00204AC4">
      <w:pPr>
        <w:spacing w:line="360" w:lineRule="auto"/>
      </w:pPr>
      <w:r>
        <w:lastRenderedPageBreak/>
        <w:t>2.38</w:t>
      </w:r>
    </w:p>
    <w:p w:rsidR="009A5D62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04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D53CF" w:rsidRDefault="00CD53CF" w:rsidP="00CD53CF">
      <w:pPr>
        <w:spacing w:line="360" w:lineRule="auto"/>
      </w:pPr>
      <w:r>
        <w:t xml:space="preserve">Three out of four Americans are White. </w:t>
      </w:r>
    </w:p>
    <w:p w:rsidR="009A5D62" w:rsidRDefault="009A5D62" w:rsidP="00204AC4">
      <w:pPr>
        <w:spacing w:line="360" w:lineRule="auto"/>
      </w:pPr>
    </w:p>
    <w:p w:rsidR="009A5D62" w:rsidRDefault="009A5D62" w:rsidP="00204AC4">
      <w:pPr>
        <w:spacing w:line="360" w:lineRule="auto"/>
      </w:pPr>
      <w:r>
        <w:t>2.39</w:t>
      </w:r>
    </w:p>
    <w:p w:rsidR="009A5D62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02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D53CF" w:rsidRDefault="00CD53CF" w:rsidP="00CD53CF">
      <w:pPr>
        <w:spacing w:line="360" w:lineRule="auto"/>
      </w:pPr>
      <w:r>
        <w:t>Half of American adults finished high school only. More than one-third received some kind of post-secondary education.</w:t>
      </w:r>
    </w:p>
    <w:p w:rsidR="009A5D62" w:rsidRDefault="009A5D62" w:rsidP="00204AC4">
      <w:pPr>
        <w:spacing w:line="360" w:lineRule="auto"/>
      </w:pPr>
    </w:p>
    <w:p w:rsidR="009A5D62" w:rsidRDefault="009A5D62" w:rsidP="00204AC4">
      <w:pPr>
        <w:spacing w:line="360" w:lineRule="auto"/>
      </w:pPr>
    </w:p>
    <w:p w:rsidR="0052670B" w:rsidRDefault="0052670B" w:rsidP="00204AC4">
      <w:pPr>
        <w:spacing w:line="360" w:lineRule="auto"/>
      </w:pPr>
    </w:p>
    <w:p w:rsidR="0052670B" w:rsidRDefault="0052670B" w:rsidP="00204AC4">
      <w:pPr>
        <w:spacing w:line="360" w:lineRule="auto"/>
      </w:pPr>
    </w:p>
    <w:p w:rsidR="0052670B" w:rsidRDefault="0052670B" w:rsidP="00204AC4">
      <w:pPr>
        <w:spacing w:line="360" w:lineRule="auto"/>
      </w:pPr>
    </w:p>
    <w:p w:rsidR="0052670B" w:rsidRDefault="0052670B" w:rsidP="00204AC4">
      <w:pPr>
        <w:spacing w:line="360" w:lineRule="auto"/>
      </w:pPr>
    </w:p>
    <w:p w:rsidR="00213E91" w:rsidRDefault="004E3B89" w:rsidP="00204AC4">
      <w:pPr>
        <w:spacing w:line="360" w:lineRule="auto"/>
      </w:pPr>
      <w:r>
        <w:lastRenderedPageBreak/>
        <w:t xml:space="preserve">2.40 </w:t>
      </w:r>
    </w:p>
    <w:p w:rsidR="0052670B" w:rsidRPr="00C64BB1" w:rsidRDefault="00B27E34" w:rsidP="00204AC4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09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F858B6" w:rsidRDefault="00213E91" w:rsidP="00F858B6">
      <w:pPr>
        <w:spacing w:line="360" w:lineRule="auto"/>
      </w:pPr>
      <w:r>
        <w:t>The “</w:t>
      </w:r>
      <w:r w:rsidR="00D87800">
        <w:t>L</w:t>
      </w:r>
      <w:r>
        <w:t>ess than high school</w:t>
      </w:r>
      <w:r w:rsidR="00D87800">
        <w:t>” category has remained constant, while the number of college graduates has increased.</w:t>
      </w:r>
    </w:p>
    <w:p w:rsidR="00F858B6" w:rsidRDefault="00F858B6" w:rsidP="00F858B6">
      <w:pPr>
        <w:spacing w:line="360" w:lineRule="auto"/>
      </w:pPr>
    </w:p>
    <w:p w:rsidR="00C530E2" w:rsidRDefault="00C530E2" w:rsidP="00F858B6">
      <w:pPr>
        <w:spacing w:line="360" w:lineRule="auto"/>
      </w:pPr>
    </w:p>
    <w:p w:rsidR="00D87800" w:rsidRDefault="004E3B89" w:rsidP="00F858B6">
      <w:pPr>
        <w:spacing w:line="360" w:lineRule="auto"/>
      </w:pPr>
      <w:r>
        <w:t xml:space="preserve">2.41 </w:t>
      </w:r>
    </w:p>
    <w:p w:rsidR="0052670B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10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D87800" w:rsidRDefault="00D87800" w:rsidP="00F858B6">
      <w:pPr>
        <w:spacing w:line="360" w:lineRule="auto"/>
      </w:pPr>
    </w:p>
    <w:p w:rsidR="00D87800" w:rsidRDefault="00D87800" w:rsidP="00F858B6">
      <w:pPr>
        <w:spacing w:line="360" w:lineRule="auto"/>
      </w:pPr>
    </w:p>
    <w:p w:rsidR="00F858B6" w:rsidRDefault="00C530E2" w:rsidP="00F858B6">
      <w:pPr>
        <w:spacing w:line="360" w:lineRule="auto"/>
      </w:pPr>
      <w:r>
        <w:rPr>
          <w:noProof/>
        </w:rPr>
        <w:t>The state and local consumption has increased rapidlycompared to the other categories.</w:t>
      </w:r>
    </w:p>
    <w:p w:rsidR="00F858B6" w:rsidRDefault="00F858B6" w:rsidP="00F858B6">
      <w:pPr>
        <w:spacing w:line="360" w:lineRule="auto"/>
      </w:pPr>
    </w:p>
    <w:p w:rsidR="0052670B" w:rsidRDefault="0052670B" w:rsidP="00F858B6">
      <w:pPr>
        <w:spacing w:line="360" w:lineRule="auto"/>
      </w:pPr>
    </w:p>
    <w:p w:rsidR="0052670B" w:rsidRDefault="0052670B" w:rsidP="00F858B6">
      <w:pPr>
        <w:spacing w:line="360" w:lineRule="auto"/>
      </w:pPr>
    </w:p>
    <w:p w:rsidR="0052670B" w:rsidRDefault="0052670B" w:rsidP="00F858B6">
      <w:pPr>
        <w:spacing w:line="360" w:lineRule="auto"/>
      </w:pPr>
    </w:p>
    <w:p w:rsidR="00C530E2" w:rsidRDefault="00C530E2" w:rsidP="00F858B6">
      <w:pPr>
        <w:spacing w:line="360" w:lineRule="auto"/>
      </w:pPr>
      <w:r>
        <w:lastRenderedPageBreak/>
        <w:t>2.4</w:t>
      </w:r>
      <w:r w:rsidR="00F23396">
        <w:t>2</w:t>
      </w:r>
      <w:r w:rsidR="0053498A">
        <w:t xml:space="preserve"> Australian Energy Sources</w:t>
      </w:r>
    </w:p>
    <w:p w:rsidR="0053498A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98A" w:rsidRDefault="0053498A" w:rsidP="00F858B6">
      <w:pPr>
        <w:spacing w:line="360" w:lineRule="auto"/>
      </w:pPr>
    </w:p>
    <w:p w:rsidR="0053498A" w:rsidRDefault="0053498A" w:rsidP="00F858B6">
      <w:pPr>
        <w:spacing w:line="360" w:lineRule="auto"/>
      </w:pPr>
      <w:r>
        <w:t>New Zealand Energy Sources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E2" w:rsidRDefault="00B744C6" w:rsidP="00F858B6">
      <w:pPr>
        <w:spacing w:line="360" w:lineRule="auto"/>
      </w:pPr>
      <w:r>
        <w:t>The dominant source in Australia is coal. In New Zealand it is oil.</w:t>
      </w:r>
    </w:p>
    <w:p w:rsidR="00964ED9" w:rsidRDefault="00964ED9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C530E2" w:rsidRDefault="00F23396" w:rsidP="00F858B6">
      <w:pPr>
        <w:spacing w:line="360" w:lineRule="auto"/>
      </w:pPr>
      <w:r>
        <w:lastRenderedPageBreak/>
        <w:t>2.4</w:t>
      </w:r>
      <w:r w:rsidR="00B41646">
        <w:t xml:space="preserve">3 </w:t>
      </w:r>
    </w:p>
    <w:p w:rsidR="00D26294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11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C530E2" w:rsidRDefault="00C530E2" w:rsidP="00F858B6">
      <w:pPr>
        <w:spacing w:line="360" w:lineRule="auto"/>
      </w:pPr>
    </w:p>
    <w:p w:rsidR="00F858B6" w:rsidRDefault="00743B36" w:rsidP="00F858B6">
      <w:pPr>
        <w:spacing w:line="360" w:lineRule="auto"/>
      </w:pPr>
      <w:r>
        <w:t>Street crime has decreased while all the other categories have remained constant.</w:t>
      </w:r>
    </w:p>
    <w:p w:rsidR="00F858B6" w:rsidRDefault="00F858B6" w:rsidP="00F858B6">
      <w:pPr>
        <w:spacing w:line="360" w:lineRule="auto"/>
      </w:pPr>
    </w:p>
    <w:p w:rsidR="00D26294" w:rsidRDefault="00D26294" w:rsidP="00F858B6">
      <w:pPr>
        <w:spacing w:line="360" w:lineRule="auto"/>
      </w:pPr>
    </w:p>
    <w:p w:rsidR="00743B36" w:rsidRDefault="00F23396" w:rsidP="00F858B6">
      <w:pPr>
        <w:spacing w:line="360" w:lineRule="auto"/>
      </w:pPr>
      <w:r>
        <w:t>2.44</w:t>
      </w:r>
    </w:p>
    <w:p w:rsidR="001E4B56" w:rsidRDefault="001E4B56" w:rsidP="00F858B6">
      <w:pPr>
        <w:spacing w:line="360" w:lineRule="auto"/>
      </w:pPr>
    </w:p>
    <w:p w:rsidR="001E4B5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Universities 1 and 2 are similar and quite dissimilar from universities 3 and 4, which also differ. The two nominal variables appear to be related.</w:t>
      </w:r>
    </w:p>
    <w:p w:rsidR="00586C7F" w:rsidRDefault="00586C7F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781B02" w:rsidRDefault="00F23396" w:rsidP="00F858B6">
      <w:pPr>
        <w:spacing w:line="360" w:lineRule="auto"/>
      </w:pPr>
      <w:r>
        <w:lastRenderedPageBreak/>
        <w:t>2.45</w:t>
      </w:r>
    </w:p>
    <w:p w:rsidR="00781B02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3718560" cy="117348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02" w:rsidRDefault="00781B02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114800" cy="1173480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The column proportions are similar; the two nominal variables appear to be unrelated. There does not appear to be any brand loyalty.</w:t>
      </w:r>
    </w:p>
    <w:p w:rsidR="00586C7F" w:rsidRDefault="00586C7F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</w:t>
      </w:r>
      <w:r w:rsidR="00F23396">
        <w:t>46</w:t>
      </w:r>
    </w:p>
    <w:p w:rsidR="00DE3ECB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3581400" cy="117348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ECB" w:rsidRDefault="00DE3ECB" w:rsidP="00F858B6">
      <w:pPr>
        <w:spacing w:line="360" w:lineRule="auto"/>
      </w:pP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3909060" cy="115062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The two variables are related.</w:t>
      </w:r>
    </w:p>
    <w:p w:rsidR="00F858B6" w:rsidRDefault="00F858B6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F858B6" w:rsidRDefault="00F23396" w:rsidP="00F858B6">
      <w:pPr>
        <w:spacing w:line="360" w:lineRule="auto"/>
      </w:pPr>
      <w:r>
        <w:lastRenderedPageBreak/>
        <w:t>2.4</w:t>
      </w:r>
      <w:r w:rsidR="00B41646">
        <w:t xml:space="preserve">7 </w:t>
      </w:r>
    </w:p>
    <w:p w:rsidR="00B4164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12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DA0A06" w:rsidRDefault="00DA0A06" w:rsidP="00F858B6">
      <w:pPr>
        <w:spacing w:line="360" w:lineRule="auto"/>
      </w:pPr>
    </w:p>
    <w:p w:rsidR="00F858B6" w:rsidRDefault="00F858B6" w:rsidP="00F858B6">
      <w:pPr>
        <w:spacing w:line="360" w:lineRule="auto"/>
      </w:pPr>
    </w:p>
    <w:p w:rsidR="00F858B6" w:rsidRDefault="00DA0A06" w:rsidP="00F858B6">
      <w:pPr>
        <w:spacing w:line="360" w:lineRule="auto"/>
      </w:pPr>
      <w:r>
        <w:t xml:space="preserve">There are large differences between </w:t>
      </w:r>
      <w:r w:rsidR="00F858B6">
        <w:t>men and women in terms of the reason for unemployment.</w:t>
      </w:r>
    </w:p>
    <w:p w:rsidR="00F858B6" w:rsidRDefault="00F858B6" w:rsidP="00F858B6">
      <w:pPr>
        <w:spacing w:line="360" w:lineRule="auto"/>
      </w:pPr>
    </w:p>
    <w:p w:rsidR="00B41646" w:rsidRDefault="00B41646" w:rsidP="00F858B6">
      <w:pPr>
        <w:spacing w:line="360" w:lineRule="auto"/>
      </w:pPr>
    </w:p>
    <w:p w:rsidR="00F23396" w:rsidRDefault="00F23396" w:rsidP="00F858B6">
      <w:pPr>
        <w:spacing w:line="360" w:lineRule="auto"/>
      </w:pPr>
      <w:r>
        <w:t>2.48</w:t>
      </w:r>
      <w:r w:rsidR="00494319">
        <w:t xml:space="preserve"> </w:t>
      </w:r>
    </w:p>
    <w:p w:rsidR="00FD57C7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14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494319" w:rsidRDefault="00494319" w:rsidP="00F858B6">
      <w:pPr>
        <w:spacing w:line="360" w:lineRule="auto"/>
      </w:pPr>
    </w:p>
    <w:p w:rsidR="00494319" w:rsidRDefault="00494319" w:rsidP="00F858B6">
      <w:pPr>
        <w:spacing w:line="360" w:lineRule="auto"/>
      </w:pPr>
      <w:r>
        <w:t>The num</w:t>
      </w:r>
      <w:r w:rsidR="00FD57C7">
        <w:t>ber of prescriptions filled by all stores except independent drug stores has in</w:t>
      </w:r>
      <w:r>
        <w:t>creased</w:t>
      </w:r>
      <w:r w:rsidR="00FD57C7">
        <w:t>.</w:t>
      </w:r>
    </w:p>
    <w:p w:rsidR="00F858B6" w:rsidRDefault="00F858B6" w:rsidP="00F858B6">
      <w:pPr>
        <w:spacing w:line="360" w:lineRule="auto"/>
      </w:pPr>
    </w:p>
    <w:p w:rsidR="00A75DC4" w:rsidRDefault="00A75DC4" w:rsidP="004052AC">
      <w:pPr>
        <w:spacing w:line="360" w:lineRule="auto"/>
      </w:pPr>
    </w:p>
    <w:p w:rsidR="00A75DC4" w:rsidRDefault="00A75DC4" w:rsidP="004052AC">
      <w:pPr>
        <w:spacing w:line="360" w:lineRule="auto"/>
      </w:pPr>
    </w:p>
    <w:p w:rsidR="006A2048" w:rsidRDefault="004052AC" w:rsidP="004052AC">
      <w:pPr>
        <w:spacing w:line="360" w:lineRule="auto"/>
        <w:rPr>
          <w:noProof/>
        </w:rPr>
      </w:pPr>
      <w:r>
        <w:lastRenderedPageBreak/>
        <w:t>2.4</w:t>
      </w:r>
      <w:r w:rsidR="00F23396">
        <w:t>9</w:t>
      </w:r>
      <w:r w:rsidR="006A2048">
        <w:t xml:space="preserve"> </w:t>
      </w:r>
    </w:p>
    <w:p w:rsidR="006A2048" w:rsidRDefault="00B27E34" w:rsidP="004052AC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48" w:rsidRDefault="006A2048" w:rsidP="004052AC">
      <w:pPr>
        <w:spacing w:line="360" w:lineRule="auto"/>
      </w:pPr>
    </w:p>
    <w:p w:rsidR="004052AC" w:rsidRDefault="004052AC" w:rsidP="004052AC">
      <w:pPr>
        <w:spacing w:line="360" w:lineRule="auto"/>
      </w:pPr>
      <w:r>
        <w:t>There appears to be differences between female and male students in their choice of light beer.</w:t>
      </w:r>
    </w:p>
    <w:p w:rsidR="004052AC" w:rsidRDefault="004052AC" w:rsidP="00F858B6">
      <w:pPr>
        <w:spacing w:line="360" w:lineRule="auto"/>
      </w:pPr>
    </w:p>
    <w:p w:rsidR="00F858B6" w:rsidRDefault="005544D2" w:rsidP="00F858B6">
      <w:pPr>
        <w:spacing w:line="360" w:lineRule="auto"/>
      </w:pPr>
      <w:r>
        <w:t>2.50</w:t>
      </w:r>
    </w:p>
    <w:p w:rsidR="006C36C7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C7" w:rsidRDefault="006C36C7" w:rsidP="00F858B6">
      <w:pPr>
        <w:spacing w:line="360" w:lineRule="auto"/>
      </w:pPr>
    </w:p>
    <w:p w:rsidR="00832133" w:rsidRDefault="00832133" w:rsidP="00F858B6">
      <w:pPr>
        <w:spacing w:line="360" w:lineRule="auto"/>
      </w:pPr>
      <w:r>
        <w:t>More than 40% rate the food as less than good.</w:t>
      </w:r>
    </w:p>
    <w:p w:rsidR="00832133" w:rsidRDefault="00832133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F858B6" w:rsidRDefault="005544D2" w:rsidP="00F858B6">
      <w:pPr>
        <w:spacing w:line="360" w:lineRule="auto"/>
      </w:pPr>
      <w:r>
        <w:t>2.51</w:t>
      </w:r>
    </w:p>
    <w:p w:rsidR="00EA5BE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E6" w:rsidRDefault="00EA5BE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</w:t>
      </w:r>
      <w:r w:rsidR="00EA5BE6">
        <w:t>5</w:t>
      </w:r>
      <w:r w:rsidR="005544D2">
        <w:t>2</w:t>
      </w:r>
      <w:r w:rsidR="00315FBD">
        <w:t xml:space="preserve"> Canada</w:t>
      </w:r>
    </w:p>
    <w:p w:rsidR="00315FBD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E6" w:rsidRDefault="00EA5BE6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EA5BE6" w:rsidRDefault="00315FBD" w:rsidP="00F858B6">
      <w:pPr>
        <w:spacing w:line="360" w:lineRule="auto"/>
      </w:pPr>
      <w:r>
        <w:t>United States</w:t>
      </w:r>
    </w:p>
    <w:p w:rsidR="00315FBD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832133" w:rsidRDefault="00832133" w:rsidP="00F858B6">
      <w:pPr>
        <w:spacing w:line="360" w:lineRule="auto"/>
      </w:pPr>
      <w:r>
        <w:t>There are considerable differences between the two countries.</w:t>
      </w:r>
    </w:p>
    <w:p w:rsidR="00832133" w:rsidRDefault="00832133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2.</w:t>
      </w:r>
      <w:r w:rsidR="005544D2">
        <w:t>53</w:t>
      </w:r>
    </w:p>
    <w:p w:rsidR="00481482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More students disagree than agree.</w:t>
      </w:r>
    </w:p>
    <w:p w:rsidR="00F858B6" w:rsidRDefault="00F858B6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lastRenderedPageBreak/>
        <w:t>2.</w:t>
      </w:r>
      <w:r w:rsidR="005544D2">
        <w:t>54</w:t>
      </w:r>
    </w:p>
    <w:p w:rsidR="00BA4B7A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7A" w:rsidRDefault="00BA4B7A" w:rsidP="00F858B6">
      <w:pPr>
        <w:spacing w:line="360" w:lineRule="auto"/>
      </w:pPr>
    </w:p>
    <w:p w:rsidR="00F858B6" w:rsidRDefault="00F858B6" w:rsidP="00F858B6">
      <w:pPr>
        <w:spacing w:line="360" w:lineRule="auto"/>
      </w:pPr>
      <w:r>
        <w:t>Customers with children rated the restaurant more highly than did customers with no children.</w:t>
      </w:r>
    </w:p>
    <w:p w:rsidR="00F858B6" w:rsidRDefault="00F858B6" w:rsidP="00F858B6">
      <w:pPr>
        <w:spacing w:line="360" w:lineRule="auto"/>
      </w:pPr>
    </w:p>
    <w:p w:rsidR="00BF380C" w:rsidRDefault="005544D2" w:rsidP="00F858B6">
      <w:pPr>
        <w:spacing w:line="360" w:lineRule="auto"/>
      </w:pPr>
      <w:r>
        <w:t>2.55</w:t>
      </w:r>
    </w:p>
    <w:p w:rsidR="00BA4B7A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5943600" cy="2446020"/>
            <wp:effectExtent l="1905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7A" w:rsidRDefault="00BA4B7A" w:rsidP="00F858B6">
      <w:pPr>
        <w:spacing w:line="360" w:lineRule="auto"/>
      </w:pPr>
    </w:p>
    <w:p w:rsidR="00376292" w:rsidRDefault="00376292" w:rsidP="00F858B6">
      <w:pPr>
        <w:spacing w:line="360" w:lineRule="auto"/>
      </w:pPr>
      <w:r>
        <w:t>There is a great deal of variation between countries. Moreover some countries tax manufacturers more and some countries tax services more. The United States has the highest corporate tax rates.</w:t>
      </w:r>
    </w:p>
    <w:p w:rsidR="005544D2" w:rsidRDefault="005544D2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A75DC4" w:rsidRDefault="00A75DC4" w:rsidP="00F858B6">
      <w:pPr>
        <w:spacing w:line="360" w:lineRule="auto"/>
      </w:pPr>
    </w:p>
    <w:p w:rsidR="00376292" w:rsidRDefault="00FD57C7" w:rsidP="00F858B6">
      <w:pPr>
        <w:spacing w:line="360" w:lineRule="auto"/>
      </w:pPr>
      <w:r>
        <w:lastRenderedPageBreak/>
        <w:t xml:space="preserve">2.56 </w:t>
      </w:r>
    </w:p>
    <w:p w:rsidR="00A75DC4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68952" cy="2744724"/>
            <wp:effectExtent l="12192" t="6096" r="6096" b="0"/>
            <wp:docPr id="120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5544D2" w:rsidRDefault="005544D2" w:rsidP="00F858B6">
      <w:pPr>
        <w:spacing w:line="360" w:lineRule="auto"/>
      </w:pPr>
    </w:p>
    <w:p w:rsidR="00E67169" w:rsidRDefault="00E67169" w:rsidP="00F858B6">
      <w:pPr>
        <w:spacing w:line="360" w:lineRule="auto"/>
      </w:pPr>
      <w:r w:rsidRPr="00E67169">
        <w:rPr>
          <w:noProof/>
        </w:rPr>
        <w:drawing>
          <wp:inline distT="0" distB="0" distL="0" distR="0">
            <wp:extent cx="5943600" cy="3265805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FD57C7" w:rsidRDefault="00A75DC4" w:rsidP="00F858B6">
      <w:pPr>
        <w:spacing w:line="360" w:lineRule="auto"/>
      </w:pPr>
      <w:r>
        <w:t xml:space="preserve">The United States owes a lot of money </w:t>
      </w:r>
      <w:proofErr w:type="gramStart"/>
      <w:r>
        <w:t>to</w:t>
      </w:r>
      <w:proofErr w:type="gramEnd"/>
      <w:r>
        <w:t xml:space="preserve"> many lenders.</w:t>
      </w:r>
    </w:p>
    <w:p w:rsidR="00A75DC4" w:rsidRDefault="00A75DC4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E67169" w:rsidRDefault="00E67169" w:rsidP="00F858B6">
      <w:pPr>
        <w:spacing w:line="360" w:lineRule="auto"/>
      </w:pPr>
    </w:p>
    <w:p w:rsidR="00F858B6" w:rsidRDefault="005544D2" w:rsidP="00F858B6">
      <w:pPr>
        <w:spacing w:line="360" w:lineRule="auto"/>
      </w:pPr>
      <w:r>
        <w:lastRenderedPageBreak/>
        <w:t>2.57</w:t>
      </w:r>
    </w:p>
    <w:p w:rsidR="00376292" w:rsidRDefault="00376292" w:rsidP="00F858B6">
      <w:pPr>
        <w:spacing w:line="360" w:lineRule="auto"/>
      </w:pPr>
    </w:p>
    <w:p w:rsidR="00F858B6" w:rsidRPr="003915ED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Pr="00C64BB1" w:rsidRDefault="00F858B6" w:rsidP="00F858B6">
      <w:pPr>
        <w:spacing w:line="360" w:lineRule="auto"/>
      </w:pPr>
      <w:r>
        <w:t>Males and females differ in their areas of employment. Females tend to choose accounting marketing/sales and males opt for finance.</w:t>
      </w:r>
    </w:p>
    <w:p w:rsidR="00A75DC4" w:rsidRDefault="00A75DC4" w:rsidP="00F858B6">
      <w:pPr>
        <w:spacing w:line="360" w:lineRule="auto"/>
      </w:pPr>
    </w:p>
    <w:p w:rsidR="00F858B6" w:rsidRDefault="00F858B6" w:rsidP="00F858B6">
      <w:pPr>
        <w:spacing w:line="360" w:lineRule="auto"/>
      </w:pPr>
      <w:proofErr w:type="gramStart"/>
      <w:r>
        <w:t>b</w:t>
      </w:r>
      <w:proofErr w:type="gramEnd"/>
      <w:r>
        <w:t xml:space="preserve"> </w:t>
      </w:r>
    </w:p>
    <w:p w:rsidR="00F858B6" w:rsidRDefault="00B27E34" w:rsidP="00F858B6">
      <w:pPr>
        <w:spacing w:line="360" w:lineRule="auto"/>
      </w:pPr>
      <w:r>
        <w:rPr>
          <w:noProof/>
        </w:rPr>
        <w:drawing>
          <wp:inline distT="0" distB="0" distL="0" distR="0">
            <wp:extent cx="4594860" cy="2766060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B6" w:rsidRDefault="00F858B6" w:rsidP="00F858B6">
      <w:pPr>
        <w:spacing w:line="360" w:lineRule="auto"/>
      </w:pPr>
    </w:p>
    <w:p w:rsidR="0097391B" w:rsidRDefault="00F858B6" w:rsidP="00A7615D">
      <w:pPr>
        <w:spacing w:line="360" w:lineRule="auto"/>
      </w:pPr>
      <w:r>
        <w:t>Area and job satisfaction are related. Graduates who work in finance and general management appear to be more satisfied than those in accounting, marketing/sales, and others.</w:t>
      </w:r>
    </w:p>
    <w:sectPr w:rsidR="0097391B" w:rsidSect="00857516">
      <w:footerReference w:type="default" r:id="rId66"/>
      <w:pgSz w:w="12240" w:h="15840"/>
      <w:pgMar w:top="1440" w:right="1440" w:bottom="1440" w:left="1440" w:header="720" w:footer="432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1C" w:rsidRDefault="00373A1C" w:rsidP="00924074">
      <w:r>
        <w:separator/>
      </w:r>
    </w:p>
  </w:endnote>
  <w:endnote w:type="continuationSeparator" w:id="0">
    <w:p w:rsidR="00373A1C" w:rsidRDefault="00373A1C" w:rsidP="009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74" w:rsidRPr="00857516" w:rsidRDefault="00857516" w:rsidP="00857516">
    <w:pPr>
      <w:pStyle w:val="Footer"/>
      <w:rPr>
        <w:sz w:val="16"/>
        <w:szCs w:val="16"/>
      </w:rPr>
    </w:pPr>
    <w:r w:rsidRPr="00D166DE">
      <w:rPr>
        <w:sz w:val="16"/>
        <w:szCs w:val="16"/>
      </w:rPr>
      <w:t xml:space="preserve">© 2015 Cengage Learning. All Rights Reserved. May not be copied, scanned, or duplicated, in whole or in part, except for use as permitted in a license distributed with a certain product or service or otherwise on a password-protected website for classroom use.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1C" w:rsidRDefault="00373A1C" w:rsidP="00924074">
      <w:r>
        <w:separator/>
      </w:r>
    </w:p>
  </w:footnote>
  <w:footnote w:type="continuationSeparator" w:id="0">
    <w:p w:rsidR="00373A1C" w:rsidRDefault="00373A1C" w:rsidP="00924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8B6"/>
    <w:rsid w:val="00002B97"/>
    <w:rsid w:val="00037CD2"/>
    <w:rsid w:val="00077539"/>
    <w:rsid w:val="00096D4F"/>
    <w:rsid w:val="000B1A4E"/>
    <w:rsid w:val="000E7D27"/>
    <w:rsid w:val="00163A1E"/>
    <w:rsid w:val="00180CC5"/>
    <w:rsid w:val="0018349C"/>
    <w:rsid w:val="001912C5"/>
    <w:rsid w:val="001D1EE2"/>
    <w:rsid w:val="001E4B56"/>
    <w:rsid w:val="00204AC4"/>
    <w:rsid w:val="00213E91"/>
    <w:rsid w:val="00216E65"/>
    <w:rsid w:val="0022217A"/>
    <w:rsid w:val="00230A78"/>
    <w:rsid w:val="00256CB2"/>
    <w:rsid w:val="0025740C"/>
    <w:rsid w:val="00266E9C"/>
    <w:rsid w:val="002C64CC"/>
    <w:rsid w:val="002E6172"/>
    <w:rsid w:val="00315FBD"/>
    <w:rsid w:val="0033254F"/>
    <w:rsid w:val="00373A1C"/>
    <w:rsid w:val="00376292"/>
    <w:rsid w:val="003D7625"/>
    <w:rsid w:val="003E0FC9"/>
    <w:rsid w:val="004052AC"/>
    <w:rsid w:val="0042171B"/>
    <w:rsid w:val="0042592D"/>
    <w:rsid w:val="00452E17"/>
    <w:rsid w:val="00462BA8"/>
    <w:rsid w:val="00475D83"/>
    <w:rsid w:val="00481482"/>
    <w:rsid w:val="00487C77"/>
    <w:rsid w:val="00494319"/>
    <w:rsid w:val="004E3B89"/>
    <w:rsid w:val="004E5B96"/>
    <w:rsid w:val="0052670B"/>
    <w:rsid w:val="00530D9F"/>
    <w:rsid w:val="0053498A"/>
    <w:rsid w:val="005418F0"/>
    <w:rsid w:val="00541D29"/>
    <w:rsid w:val="005544D2"/>
    <w:rsid w:val="00586C7F"/>
    <w:rsid w:val="00592C98"/>
    <w:rsid w:val="005967B9"/>
    <w:rsid w:val="005F74E1"/>
    <w:rsid w:val="00622862"/>
    <w:rsid w:val="00696595"/>
    <w:rsid w:val="006970D8"/>
    <w:rsid w:val="006A2048"/>
    <w:rsid w:val="006A4246"/>
    <w:rsid w:val="006B6B11"/>
    <w:rsid w:val="006B70A9"/>
    <w:rsid w:val="006C36C7"/>
    <w:rsid w:val="006E5BB2"/>
    <w:rsid w:val="00705746"/>
    <w:rsid w:val="0072361A"/>
    <w:rsid w:val="00732425"/>
    <w:rsid w:val="007356CE"/>
    <w:rsid w:val="00743B36"/>
    <w:rsid w:val="00762C5D"/>
    <w:rsid w:val="0077168D"/>
    <w:rsid w:val="00781B02"/>
    <w:rsid w:val="007A48D3"/>
    <w:rsid w:val="007A61CC"/>
    <w:rsid w:val="007B39FC"/>
    <w:rsid w:val="007E3916"/>
    <w:rsid w:val="007F4D39"/>
    <w:rsid w:val="00802C89"/>
    <w:rsid w:val="0081300E"/>
    <w:rsid w:val="00832133"/>
    <w:rsid w:val="00857516"/>
    <w:rsid w:val="0087280E"/>
    <w:rsid w:val="008B2610"/>
    <w:rsid w:val="008B4D62"/>
    <w:rsid w:val="00921603"/>
    <w:rsid w:val="00924074"/>
    <w:rsid w:val="009516D1"/>
    <w:rsid w:val="00964ED9"/>
    <w:rsid w:val="0097391B"/>
    <w:rsid w:val="00977EB9"/>
    <w:rsid w:val="009A5D62"/>
    <w:rsid w:val="009B526A"/>
    <w:rsid w:val="00A003FD"/>
    <w:rsid w:val="00A04F03"/>
    <w:rsid w:val="00A17532"/>
    <w:rsid w:val="00A341F9"/>
    <w:rsid w:val="00A35EDE"/>
    <w:rsid w:val="00A7189D"/>
    <w:rsid w:val="00A75DC4"/>
    <w:rsid w:val="00A7615D"/>
    <w:rsid w:val="00A8106F"/>
    <w:rsid w:val="00B10372"/>
    <w:rsid w:val="00B12ED4"/>
    <w:rsid w:val="00B236D5"/>
    <w:rsid w:val="00B27E34"/>
    <w:rsid w:val="00B41646"/>
    <w:rsid w:val="00B744C6"/>
    <w:rsid w:val="00BA4B7A"/>
    <w:rsid w:val="00BA7C4E"/>
    <w:rsid w:val="00BC4E79"/>
    <w:rsid w:val="00BE7022"/>
    <w:rsid w:val="00BF380C"/>
    <w:rsid w:val="00C23481"/>
    <w:rsid w:val="00C26B0A"/>
    <w:rsid w:val="00C530E2"/>
    <w:rsid w:val="00C72A99"/>
    <w:rsid w:val="00C77022"/>
    <w:rsid w:val="00C94381"/>
    <w:rsid w:val="00CD2281"/>
    <w:rsid w:val="00CD53CF"/>
    <w:rsid w:val="00CF3E38"/>
    <w:rsid w:val="00D26294"/>
    <w:rsid w:val="00D87800"/>
    <w:rsid w:val="00DA0A06"/>
    <w:rsid w:val="00DC0355"/>
    <w:rsid w:val="00DC5EC1"/>
    <w:rsid w:val="00DE3ECB"/>
    <w:rsid w:val="00E14253"/>
    <w:rsid w:val="00E4457F"/>
    <w:rsid w:val="00E51B3C"/>
    <w:rsid w:val="00E5421B"/>
    <w:rsid w:val="00E57AEB"/>
    <w:rsid w:val="00E67169"/>
    <w:rsid w:val="00E72919"/>
    <w:rsid w:val="00E7540C"/>
    <w:rsid w:val="00EA5BE6"/>
    <w:rsid w:val="00F00A83"/>
    <w:rsid w:val="00F1249F"/>
    <w:rsid w:val="00F23396"/>
    <w:rsid w:val="00F54131"/>
    <w:rsid w:val="00F56F48"/>
    <w:rsid w:val="00F72ECE"/>
    <w:rsid w:val="00F858B6"/>
    <w:rsid w:val="00F95ACD"/>
    <w:rsid w:val="00FD57C7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B6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F858B6"/>
    <w:pPr>
      <w:keepNext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8B6"/>
    <w:rPr>
      <w:rFonts w:eastAsia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F858B6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858B6"/>
    <w:rPr>
      <w:rFonts w:eastAsia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B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07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24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07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7.xml"/><Relationship Id="rId26" Type="http://schemas.openxmlformats.org/officeDocument/2006/relationships/image" Target="media/image11.emf"/><Relationship Id="rId39" Type="http://schemas.openxmlformats.org/officeDocument/2006/relationships/chart" Target="charts/chart12.xml"/><Relationship Id="rId21" Type="http://schemas.openxmlformats.org/officeDocument/2006/relationships/image" Target="media/image6.emf"/><Relationship Id="rId34" Type="http://schemas.openxmlformats.org/officeDocument/2006/relationships/image" Target="media/image19.emf"/><Relationship Id="rId42" Type="http://schemas.openxmlformats.org/officeDocument/2006/relationships/chart" Target="charts/chart15.xml"/><Relationship Id="rId47" Type="http://schemas.openxmlformats.org/officeDocument/2006/relationships/image" Target="media/image23.emf"/><Relationship Id="rId50" Type="http://schemas.openxmlformats.org/officeDocument/2006/relationships/image" Target="media/image26.png"/><Relationship Id="rId55" Type="http://schemas.openxmlformats.org/officeDocument/2006/relationships/image" Target="media/image29.emf"/><Relationship Id="rId63" Type="http://schemas.openxmlformats.org/officeDocument/2006/relationships/chart" Target="charts/chart2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chart" Target="charts/chart10.xml"/><Relationship Id="rId40" Type="http://schemas.openxmlformats.org/officeDocument/2006/relationships/chart" Target="charts/chart13.xml"/><Relationship Id="rId45" Type="http://schemas.openxmlformats.org/officeDocument/2006/relationships/image" Target="media/image22.emf"/><Relationship Id="rId53" Type="http://schemas.openxmlformats.org/officeDocument/2006/relationships/chart" Target="charts/chart19.xml"/><Relationship Id="rId58" Type="http://schemas.openxmlformats.org/officeDocument/2006/relationships/image" Target="media/image32.e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chart" Target="charts/chart9.xml"/><Relationship Id="rId49" Type="http://schemas.openxmlformats.org/officeDocument/2006/relationships/image" Target="media/image25.png"/><Relationship Id="rId57" Type="http://schemas.openxmlformats.org/officeDocument/2006/relationships/image" Target="media/image31.emf"/><Relationship Id="rId61" Type="http://schemas.openxmlformats.org/officeDocument/2006/relationships/image" Target="media/image35.emf"/><Relationship Id="rId10" Type="http://schemas.openxmlformats.org/officeDocument/2006/relationships/chart" Target="charts/chart3.xml"/><Relationship Id="rId19" Type="http://schemas.openxmlformats.org/officeDocument/2006/relationships/chart" Target="charts/chart8.xml"/><Relationship Id="rId31" Type="http://schemas.openxmlformats.org/officeDocument/2006/relationships/image" Target="media/image16.emf"/><Relationship Id="rId44" Type="http://schemas.openxmlformats.org/officeDocument/2006/relationships/image" Target="media/image21.emf"/><Relationship Id="rId52" Type="http://schemas.openxmlformats.org/officeDocument/2006/relationships/chart" Target="charts/chart18.xml"/><Relationship Id="rId60" Type="http://schemas.openxmlformats.org/officeDocument/2006/relationships/image" Target="media/image34.emf"/><Relationship Id="rId65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chart" Target="charts/chart16.xml"/><Relationship Id="rId48" Type="http://schemas.openxmlformats.org/officeDocument/2006/relationships/image" Target="media/image24.png"/><Relationship Id="rId56" Type="http://schemas.openxmlformats.org/officeDocument/2006/relationships/image" Target="media/image30.emf"/><Relationship Id="rId64" Type="http://schemas.openxmlformats.org/officeDocument/2006/relationships/image" Target="media/image36.emf"/><Relationship Id="rId8" Type="http://schemas.openxmlformats.org/officeDocument/2006/relationships/chart" Target="charts/chart1.xml"/><Relationship Id="rId51" Type="http://schemas.openxmlformats.org/officeDocument/2006/relationships/image" Target="media/image27.png"/><Relationship Id="rId3" Type="http://schemas.microsoft.com/office/2007/relationships/stylesWithEffects" Target="stylesWithEffects.xml"/><Relationship Id="rId12" Type="http://schemas.openxmlformats.org/officeDocument/2006/relationships/image" Target="media/image2.emf"/><Relationship Id="rId17" Type="http://schemas.openxmlformats.org/officeDocument/2006/relationships/image" Target="media/image4.emf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chart" Target="charts/chart11.xml"/><Relationship Id="rId46" Type="http://schemas.openxmlformats.org/officeDocument/2006/relationships/chart" Target="charts/chart17.xml"/><Relationship Id="rId59" Type="http://schemas.openxmlformats.org/officeDocument/2006/relationships/image" Target="media/image33.emf"/><Relationship Id="rId67" Type="http://schemas.openxmlformats.org/officeDocument/2006/relationships/fontTable" Target="fontTable.xml"/><Relationship Id="rId20" Type="http://schemas.openxmlformats.org/officeDocument/2006/relationships/image" Target="media/image5.emf"/><Relationship Id="rId41" Type="http://schemas.openxmlformats.org/officeDocument/2006/relationships/chart" Target="charts/chart14.xml"/><Relationship Id="rId54" Type="http://schemas.openxmlformats.org/officeDocument/2006/relationships/image" Target="media/image28.emf"/><Relationship Id="rId62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Book4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Book4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4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4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43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47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4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56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5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2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keller\Documents\10th%20edition\2%20Excel%20files\Chapter%202\Xr02-2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Oil Reserves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Brazil</c:v>
                </c:pt>
                <c:pt idx="1">
                  <c:v>Canada</c:v>
                </c:pt>
                <c:pt idx="2">
                  <c:v>China</c:v>
                </c:pt>
                <c:pt idx="3">
                  <c:v>Iran</c:v>
                </c:pt>
                <c:pt idx="4">
                  <c:v>Iraq</c:v>
                </c:pt>
                <c:pt idx="5">
                  <c:v>Kazakhstan</c:v>
                </c:pt>
                <c:pt idx="6">
                  <c:v>Kuwait</c:v>
                </c:pt>
                <c:pt idx="7">
                  <c:v>Libya</c:v>
                </c:pt>
                <c:pt idx="8">
                  <c:v>Nigeria</c:v>
                </c:pt>
                <c:pt idx="9">
                  <c:v>Qatar</c:v>
                </c:pt>
                <c:pt idx="10">
                  <c:v>Russia</c:v>
                </c:pt>
                <c:pt idx="11">
                  <c:v>Saudi Arabia</c:v>
                </c:pt>
                <c:pt idx="12">
                  <c:v>United Arab Emirates</c:v>
                </c:pt>
                <c:pt idx="13">
                  <c:v>United States</c:v>
                </c:pt>
                <c:pt idx="14">
                  <c:v>Venezuela</c:v>
                </c:pt>
              </c:strCache>
            </c:strRef>
          </c:cat>
          <c:val>
            <c:numRef>
              <c:f>Sheet1!$B$2:$B$16</c:f>
              <c:numCache>
                <c:formatCode>#,##0</c:formatCode>
                <c:ptCount val="15"/>
                <c:pt idx="0">
                  <c:v>12860000000</c:v>
                </c:pt>
                <c:pt idx="1">
                  <c:v>175200000000</c:v>
                </c:pt>
                <c:pt idx="2">
                  <c:v>14800000000</c:v>
                </c:pt>
                <c:pt idx="3">
                  <c:v>137000000000</c:v>
                </c:pt>
                <c:pt idx="4">
                  <c:v>115000000000</c:v>
                </c:pt>
                <c:pt idx="5">
                  <c:v>30000000000</c:v>
                </c:pt>
                <c:pt idx="6">
                  <c:v>104000000000</c:v>
                </c:pt>
                <c:pt idx="7">
                  <c:v>46420000000</c:v>
                </c:pt>
                <c:pt idx="8">
                  <c:v>37200000000</c:v>
                </c:pt>
                <c:pt idx="9">
                  <c:v>25380000000</c:v>
                </c:pt>
                <c:pt idx="10">
                  <c:v>60000000000</c:v>
                </c:pt>
                <c:pt idx="11">
                  <c:v>262600000000</c:v>
                </c:pt>
                <c:pt idx="12">
                  <c:v>97800000000</c:v>
                </c:pt>
                <c:pt idx="13">
                  <c:v>20680000000</c:v>
                </c:pt>
                <c:pt idx="14">
                  <c:v>211200000000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316608"/>
        <c:axId val="327318144"/>
      </c:barChart>
      <c:catAx>
        <c:axId val="32731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327318144"/>
        <c:crosses val="autoZero"/>
        <c:auto val="1"/>
        <c:lblAlgn val="ctr"/>
        <c:lblOffset val="100"/>
        <c:noMultiLvlLbl val="0"/>
      </c:catAx>
      <c:valAx>
        <c:axId val="32731814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327316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Sheet1!$E$2:$E$6</c:f>
              <c:strCache>
                <c:ptCount val="5"/>
                <c:pt idx="0">
                  <c:v>Left high school</c:v>
                </c:pt>
                <c:pt idx="1">
                  <c:v>High school</c:v>
                </c:pt>
                <c:pt idx="2">
                  <c:v>junior college</c:v>
                </c:pt>
                <c:pt idx="3">
                  <c:v>Bachelor's degree</c:v>
                </c:pt>
                <c:pt idx="4">
                  <c:v>Graduate degree 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288</c:v>
                </c:pt>
                <c:pt idx="1">
                  <c:v>976</c:v>
                </c:pt>
                <c:pt idx="2">
                  <c:v>151</c:v>
                </c:pt>
                <c:pt idx="3">
                  <c:v>354</c:v>
                </c:pt>
                <c:pt idx="4">
                  <c:v>205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Sheet2!$E$2:$E$6</c:f>
              <c:strCache>
                <c:ptCount val="5"/>
                <c:pt idx="0">
                  <c:v>Married</c:v>
                </c:pt>
                <c:pt idx="1">
                  <c:v>Widowed</c:v>
                </c:pt>
                <c:pt idx="2">
                  <c:v>Divorced</c:v>
                </c:pt>
                <c:pt idx="3">
                  <c:v>Separated</c:v>
                </c:pt>
                <c:pt idx="4">
                  <c:v>Never married</c:v>
                </c:pt>
              </c:strCache>
            </c:strRef>
          </c:cat>
          <c:val>
            <c:numRef>
              <c:f>Sheet2!$F$2:$F$6</c:f>
              <c:numCache>
                <c:formatCode>General</c:formatCode>
                <c:ptCount val="5"/>
                <c:pt idx="0">
                  <c:v>900</c:v>
                </c:pt>
                <c:pt idx="1">
                  <c:v>163</c:v>
                </c:pt>
                <c:pt idx="2">
                  <c:v>317</c:v>
                </c:pt>
                <c:pt idx="3">
                  <c:v>68</c:v>
                </c:pt>
                <c:pt idx="4">
                  <c:v>526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Sheet3!$E$2:$E$5</c:f>
              <c:strCache>
                <c:ptCount val="4"/>
                <c:pt idx="0">
                  <c:v>Lower class</c:v>
                </c:pt>
                <c:pt idx="1">
                  <c:v>Working class</c:v>
                </c:pt>
                <c:pt idx="2">
                  <c:v>Middle class</c:v>
                </c:pt>
                <c:pt idx="3">
                  <c:v>Upper class</c:v>
                </c:pt>
              </c:strCache>
            </c:strRef>
          </c:cat>
          <c:val>
            <c:numRef>
              <c:f>Sheet3!$F$2:$F$5</c:f>
              <c:numCache>
                <c:formatCode>General</c:formatCode>
                <c:ptCount val="4"/>
                <c:pt idx="0">
                  <c:v>200</c:v>
                </c:pt>
                <c:pt idx="1">
                  <c:v>853</c:v>
                </c:pt>
                <c:pt idx="2">
                  <c:v>839</c:v>
                </c:pt>
                <c:pt idx="3">
                  <c:v>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Sheet1!$F$2:$F$4</c:f>
              <c:strCache>
                <c:ptCount val="3"/>
                <c:pt idx="0">
                  <c:v>White</c:v>
                </c:pt>
                <c:pt idx="1">
                  <c:v>Blck</c:v>
                </c:pt>
                <c:pt idx="2">
                  <c:v>Other</c:v>
                </c:pt>
              </c:strCache>
            </c:strRef>
          </c:cat>
          <c:val>
            <c:numRef>
              <c:f>Sheet1!$G$2:$G$4</c:f>
              <c:numCache>
                <c:formatCode>General</c:formatCode>
                <c:ptCount val="3"/>
                <c:pt idx="0">
                  <c:v>1550</c:v>
                </c:pt>
                <c:pt idx="1">
                  <c:v>311</c:v>
                </c:pt>
                <c:pt idx="2">
                  <c:v>183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Sheet1!$F$2:$F$6</c:f>
              <c:strCache>
                <c:ptCount val="5"/>
                <c:pt idx="0">
                  <c:v>Left high school</c:v>
                </c:pt>
                <c:pt idx="1">
                  <c:v>High school</c:v>
                </c:pt>
                <c:pt idx="2">
                  <c:v>Junior college</c:v>
                </c:pt>
                <c:pt idx="3">
                  <c:v>Bachelor's degree</c:v>
                </c:pt>
                <c:pt idx="4">
                  <c:v>Graduate degree</c:v>
                </c:pt>
              </c:strCache>
            </c:strRef>
          </c:cat>
          <c:val>
            <c:numRef>
              <c:f>Sheet1!$G$2:$G$6</c:f>
              <c:numCache>
                <c:formatCode>General</c:formatCode>
                <c:ptCount val="5"/>
                <c:pt idx="0">
                  <c:v>305</c:v>
                </c:pt>
                <c:pt idx="1">
                  <c:v>1001</c:v>
                </c:pt>
                <c:pt idx="2">
                  <c:v>145</c:v>
                </c:pt>
                <c:pt idx="3">
                  <c:v>375</c:v>
                </c:pt>
                <c:pt idx="4">
                  <c:v>218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Less than high school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</c:numCache>
            </c:numRef>
          </c:cat>
          <c:val>
            <c:numRef>
              <c:f>Sheet1!$B$2:$E$2</c:f>
              <c:numCache>
                <c:formatCode>_(* #,##0_);_(* \(#,##0\);_(* "-"??_);_(@_)</c:formatCode>
                <c:ptCount val="4"/>
                <c:pt idx="0">
                  <c:v>12021</c:v>
                </c:pt>
                <c:pt idx="1">
                  <c:v>12483</c:v>
                </c:pt>
                <c:pt idx="2">
                  <c:v>12679</c:v>
                </c:pt>
                <c:pt idx="3">
                  <c:v>11880.089354212736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High school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</c:numCache>
            </c:numRef>
          </c:cat>
          <c:val>
            <c:numRef>
              <c:f>Sheet1!$B$3:$E$3</c:f>
              <c:numCache>
                <c:formatCode>_(* #,##0_);_(* \(#,##0\);_(* "-"??_);_(@_)</c:formatCode>
                <c:ptCount val="4"/>
                <c:pt idx="0">
                  <c:v>36746.000000000007</c:v>
                </c:pt>
                <c:pt idx="1">
                  <c:v>37750</c:v>
                </c:pt>
                <c:pt idx="2">
                  <c:v>38196.000000000007</c:v>
                </c:pt>
                <c:pt idx="3">
                  <c:v>38236.287588188403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Some college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</c:numCache>
            </c:numRef>
          </c:cat>
          <c:val>
            <c:numRef>
              <c:f>Sheet1!$B$4:$E$4</c:f>
              <c:numCache>
                <c:formatCode>_(* #,##0_);_(* \(#,##0\);_(* "-"??_);_(@_)</c:formatCode>
                <c:ptCount val="4"/>
                <c:pt idx="0">
                  <c:v>30908</c:v>
                </c:pt>
                <c:pt idx="1">
                  <c:v>33198</c:v>
                </c:pt>
                <c:pt idx="2">
                  <c:v>34974</c:v>
                </c:pt>
                <c:pt idx="3">
                  <c:v>36840.277088316194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College graduate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</c:numCache>
            </c:numRef>
          </c:cat>
          <c:val>
            <c:numRef>
              <c:f>Sheet1!$B$5:$E$5</c:f>
              <c:numCache>
                <c:formatCode>_(* #,##0_);_(* \(#,##0\);_(* "-"??_);_(@_)</c:formatCode>
                <c:ptCount val="4"/>
                <c:pt idx="0">
                  <c:v>31176</c:v>
                </c:pt>
                <c:pt idx="1">
                  <c:v>36630.000000000007</c:v>
                </c:pt>
                <c:pt idx="2">
                  <c:v>41180.000000000007</c:v>
                </c:pt>
                <c:pt idx="3">
                  <c:v>45998.345969282615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466368"/>
        <c:axId val="327472256"/>
      </c:barChart>
      <c:catAx>
        <c:axId val="32746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7472256"/>
        <c:crosses val="autoZero"/>
        <c:auto val="1"/>
        <c:lblAlgn val="ctr"/>
        <c:lblOffset val="100"/>
        <c:noMultiLvlLbl val="0"/>
      </c:catAx>
      <c:valAx>
        <c:axId val="327472256"/>
        <c:scaling>
          <c:orientation val="minMax"/>
        </c:scaling>
        <c:delete val="0"/>
        <c:axPos val="l"/>
        <c:numFmt formatCode="_(* #,##0_);_(* \(#,##0\);_(* &quot;-&quot;??_);_(@_)" sourceLinked="1"/>
        <c:majorTickMark val="out"/>
        <c:minorTickMark val="none"/>
        <c:tickLblPos val="nextTo"/>
        <c:crossAx val="32746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1995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Highways</c:v>
                </c:pt>
                <c:pt idx="1">
                  <c:v>Air transportation</c:v>
                </c:pt>
                <c:pt idx="2">
                  <c:v>Port facilities</c:v>
                </c:pt>
                <c:pt idx="3">
                  <c:v>Sewerage</c:v>
                </c:pt>
                <c:pt idx="4">
                  <c:v>Waste management</c:v>
                </c:pt>
                <c:pt idx="5">
                  <c:v>Water supply</c:v>
                </c:pt>
                <c:pt idx="6">
                  <c:v>Mass transit</c:v>
                </c:pt>
              </c:strCache>
            </c:strRef>
          </c:cat>
          <c:val>
            <c:numRef>
              <c:f>Sheet1!$B$2:$B$8</c:f>
              <c:numCache>
                <c:formatCode>#,##0</c:formatCode>
                <c:ptCount val="7"/>
                <c:pt idx="0">
                  <c:v>77108.526000000013</c:v>
                </c:pt>
                <c:pt idx="1">
                  <c:v>8397.4189999999653</c:v>
                </c:pt>
                <c:pt idx="2">
                  <c:v>2309.348</c:v>
                </c:pt>
                <c:pt idx="3">
                  <c:v>23583.401000000005</c:v>
                </c:pt>
                <c:pt idx="4">
                  <c:v>14989.501</c:v>
                </c:pt>
                <c:pt idx="5">
                  <c:v>28040.858</c:v>
                </c:pt>
                <c:pt idx="6">
                  <c:v>25718.741999999998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2000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Highways</c:v>
                </c:pt>
                <c:pt idx="1">
                  <c:v>Air transportation</c:v>
                </c:pt>
                <c:pt idx="2">
                  <c:v>Port facilities</c:v>
                </c:pt>
                <c:pt idx="3">
                  <c:v>Sewerage</c:v>
                </c:pt>
                <c:pt idx="4">
                  <c:v>Waste management</c:v>
                </c:pt>
                <c:pt idx="5">
                  <c:v>Water supply</c:v>
                </c:pt>
                <c:pt idx="6">
                  <c:v>Mass transit</c:v>
                </c:pt>
              </c:strCache>
            </c:strRef>
          </c:cat>
          <c:val>
            <c:numRef>
              <c:f>Sheet1!$C$2:$C$8</c:f>
              <c:numCache>
                <c:formatCode>#,##0</c:formatCode>
                <c:ptCount val="7"/>
                <c:pt idx="0">
                  <c:v>101335.90999999999</c:v>
                </c:pt>
                <c:pt idx="1">
                  <c:v>13159.782999999989</c:v>
                </c:pt>
                <c:pt idx="2">
                  <c:v>3140.5329999999999</c:v>
                </c:pt>
                <c:pt idx="3">
                  <c:v>28052.47</c:v>
                </c:pt>
                <c:pt idx="4">
                  <c:v>17208.373</c:v>
                </c:pt>
                <c:pt idx="5">
                  <c:v>35789.427000000003</c:v>
                </c:pt>
                <c:pt idx="6">
                  <c:v>31882.569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Highways</c:v>
                </c:pt>
                <c:pt idx="1">
                  <c:v>Air transportation</c:v>
                </c:pt>
                <c:pt idx="2">
                  <c:v>Port facilities</c:v>
                </c:pt>
                <c:pt idx="3">
                  <c:v>Sewerage</c:v>
                </c:pt>
                <c:pt idx="4">
                  <c:v>Waste management</c:v>
                </c:pt>
                <c:pt idx="5">
                  <c:v>Water supply</c:v>
                </c:pt>
                <c:pt idx="6">
                  <c:v>Mass transit</c:v>
                </c:pt>
              </c:strCache>
            </c:strRef>
          </c:cat>
          <c:val>
            <c:numRef>
              <c:f>Sheet1!$D$2:$D$8</c:f>
              <c:numCache>
                <c:formatCode>#,##0</c:formatCode>
                <c:ptCount val="7"/>
                <c:pt idx="0">
                  <c:v>124601.814</c:v>
                </c:pt>
                <c:pt idx="1">
                  <c:v>17961.653999999955</c:v>
                </c:pt>
                <c:pt idx="2">
                  <c:v>3896.268999999993</c:v>
                </c:pt>
                <c:pt idx="3">
                  <c:v>36599.455000000002</c:v>
                </c:pt>
                <c:pt idx="4">
                  <c:v>21469.402999999998</c:v>
                </c:pt>
                <c:pt idx="5">
                  <c:v>45799.341</c:v>
                </c:pt>
                <c:pt idx="6">
                  <c:v>44310.221999999994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Highways</c:v>
                </c:pt>
                <c:pt idx="1">
                  <c:v>Air transportation</c:v>
                </c:pt>
                <c:pt idx="2">
                  <c:v>Port facilities</c:v>
                </c:pt>
                <c:pt idx="3">
                  <c:v>Sewerage</c:v>
                </c:pt>
                <c:pt idx="4">
                  <c:v>Waste management</c:v>
                </c:pt>
                <c:pt idx="5">
                  <c:v>Water supply</c:v>
                </c:pt>
                <c:pt idx="6">
                  <c:v>Mass transit</c:v>
                </c:pt>
              </c:strCache>
            </c:strRef>
          </c:cat>
          <c:val>
            <c:numRef>
              <c:f>Sheet1!$E$2:$E$8</c:f>
              <c:numCache>
                <c:formatCode>#,##0</c:formatCode>
                <c:ptCount val="7"/>
                <c:pt idx="0">
                  <c:v>153514.68700000001</c:v>
                </c:pt>
                <c:pt idx="1">
                  <c:v>21264.241999999998</c:v>
                </c:pt>
                <c:pt idx="2">
                  <c:v>4940.1350000000002</c:v>
                </c:pt>
                <c:pt idx="3">
                  <c:v>46678.848000000013</c:v>
                </c:pt>
                <c:pt idx="4">
                  <c:v>23756.966000000029</c:v>
                </c:pt>
                <c:pt idx="5">
                  <c:v>55214.707999999999</c:v>
                </c:pt>
                <c:pt idx="6">
                  <c:v>50943.946000000011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490560"/>
        <c:axId val="327492352"/>
      </c:barChart>
      <c:catAx>
        <c:axId val="327490560"/>
        <c:scaling>
          <c:orientation val="minMax"/>
        </c:scaling>
        <c:delete val="0"/>
        <c:axPos val="b"/>
        <c:majorTickMark val="out"/>
        <c:minorTickMark val="none"/>
        <c:tickLblPos val="nextTo"/>
        <c:crossAx val="327492352"/>
        <c:crosses val="autoZero"/>
        <c:auto val="1"/>
        <c:lblAlgn val="ctr"/>
        <c:lblOffset val="100"/>
        <c:noMultiLvlLbl val="0"/>
      </c:catAx>
      <c:valAx>
        <c:axId val="32749235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327490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Sheet1!$H$10</c:f>
              <c:strCache>
                <c:ptCount val="1"/>
                <c:pt idx="0">
                  <c:v>Year 1995</c:v>
                </c:pt>
              </c:strCache>
            </c:strRef>
          </c:tx>
          <c:invertIfNegative val="0"/>
          <c:cat>
            <c:strRef>
              <c:f>Sheet1!$G$11:$G$17</c:f>
              <c:strCache>
                <c:ptCount val="7"/>
                <c:pt idx="0">
                  <c:v>Street/highway</c:v>
                </c:pt>
                <c:pt idx="1">
                  <c:v>Commercial house</c:v>
                </c:pt>
                <c:pt idx="2">
                  <c:v>Gas station</c:v>
                </c:pt>
                <c:pt idx="3">
                  <c:v>Convenience store</c:v>
                </c:pt>
                <c:pt idx="4">
                  <c:v>Residence</c:v>
                </c:pt>
                <c:pt idx="5">
                  <c:v>Bank</c:v>
                </c:pt>
                <c:pt idx="6">
                  <c:v>Other</c:v>
                </c:pt>
              </c:strCache>
            </c:strRef>
          </c:cat>
          <c:val>
            <c:numRef>
              <c:f>Sheet1!$H$11:$H$17</c:f>
              <c:numCache>
                <c:formatCode>General</c:formatCode>
                <c:ptCount val="7"/>
                <c:pt idx="0">
                  <c:v>315</c:v>
                </c:pt>
                <c:pt idx="1">
                  <c:v>71</c:v>
                </c:pt>
                <c:pt idx="2">
                  <c:v>13</c:v>
                </c:pt>
                <c:pt idx="3">
                  <c:v>30</c:v>
                </c:pt>
                <c:pt idx="4">
                  <c:v>63</c:v>
                </c:pt>
                <c:pt idx="5">
                  <c:v>9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Sheet1!$I$10</c:f>
              <c:strCache>
                <c:ptCount val="1"/>
                <c:pt idx="0">
                  <c:v>Year 2000</c:v>
                </c:pt>
              </c:strCache>
            </c:strRef>
          </c:tx>
          <c:invertIfNegative val="0"/>
          <c:cat>
            <c:strRef>
              <c:f>Sheet1!$G$11:$G$17</c:f>
              <c:strCache>
                <c:ptCount val="7"/>
                <c:pt idx="0">
                  <c:v>Street/highway</c:v>
                </c:pt>
                <c:pt idx="1">
                  <c:v>Commercial house</c:v>
                </c:pt>
                <c:pt idx="2">
                  <c:v>Gas station</c:v>
                </c:pt>
                <c:pt idx="3">
                  <c:v>Convenience store</c:v>
                </c:pt>
                <c:pt idx="4">
                  <c:v>Residence</c:v>
                </c:pt>
                <c:pt idx="5">
                  <c:v>Bank</c:v>
                </c:pt>
                <c:pt idx="6">
                  <c:v>Other</c:v>
                </c:pt>
              </c:strCache>
            </c:strRef>
          </c:cat>
          <c:val>
            <c:numRef>
              <c:f>Sheet1!$I$11:$I$17</c:f>
              <c:numCache>
                <c:formatCode>General</c:formatCode>
                <c:ptCount val="7"/>
                <c:pt idx="0">
                  <c:v>188</c:v>
                </c:pt>
                <c:pt idx="1">
                  <c:v>57</c:v>
                </c:pt>
                <c:pt idx="2">
                  <c:v>12</c:v>
                </c:pt>
                <c:pt idx="3">
                  <c:v>26</c:v>
                </c:pt>
                <c:pt idx="4">
                  <c:v>50</c:v>
                </c:pt>
                <c:pt idx="5">
                  <c:v>9</c:v>
                </c:pt>
                <c:pt idx="6">
                  <c:v>66</c:v>
                </c:pt>
              </c:numCache>
            </c:numRef>
          </c:val>
        </c:ser>
        <c:ser>
          <c:idx val="2"/>
          <c:order val="2"/>
          <c:tx>
            <c:strRef>
              <c:f>Sheet1!$J$10</c:f>
              <c:strCache>
                <c:ptCount val="1"/>
                <c:pt idx="0">
                  <c:v>Year 2005</c:v>
                </c:pt>
              </c:strCache>
            </c:strRef>
          </c:tx>
          <c:invertIfNegative val="0"/>
          <c:cat>
            <c:strRef>
              <c:f>Sheet1!$G$11:$G$17</c:f>
              <c:strCache>
                <c:ptCount val="7"/>
                <c:pt idx="0">
                  <c:v>Street/highway</c:v>
                </c:pt>
                <c:pt idx="1">
                  <c:v>Commercial house</c:v>
                </c:pt>
                <c:pt idx="2">
                  <c:v>Gas station</c:v>
                </c:pt>
                <c:pt idx="3">
                  <c:v>Convenience store</c:v>
                </c:pt>
                <c:pt idx="4">
                  <c:v>Residence</c:v>
                </c:pt>
                <c:pt idx="5">
                  <c:v>Bank</c:v>
                </c:pt>
                <c:pt idx="6">
                  <c:v>Other</c:v>
                </c:pt>
              </c:strCache>
            </c:strRef>
          </c:cat>
          <c:val>
            <c:numRef>
              <c:f>Sheet1!$J$11:$J$17</c:f>
              <c:numCache>
                <c:formatCode>General</c:formatCode>
                <c:ptCount val="7"/>
                <c:pt idx="0">
                  <c:v>184</c:v>
                </c:pt>
                <c:pt idx="1">
                  <c:v>60</c:v>
                </c:pt>
                <c:pt idx="2">
                  <c:v>12</c:v>
                </c:pt>
                <c:pt idx="3">
                  <c:v>24</c:v>
                </c:pt>
                <c:pt idx="4">
                  <c:v>59</c:v>
                </c:pt>
                <c:pt idx="5">
                  <c:v>9</c:v>
                </c:pt>
                <c:pt idx="6">
                  <c:v>69</c:v>
                </c:pt>
              </c:numCache>
            </c:numRef>
          </c:val>
        </c:ser>
        <c:ser>
          <c:idx val="3"/>
          <c:order val="3"/>
          <c:tx>
            <c:strRef>
              <c:f>Sheet1!$K$10</c:f>
              <c:strCache>
                <c:ptCount val="1"/>
                <c:pt idx="0">
                  <c:v>Year 2009</c:v>
                </c:pt>
              </c:strCache>
            </c:strRef>
          </c:tx>
          <c:invertIfNegative val="0"/>
          <c:cat>
            <c:strRef>
              <c:f>Sheet1!$G$11:$G$17</c:f>
              <c:strCache>
                <c:ptCount val="7"/>
                <c:pt idx="0">
                  <c:v>Street/highway</c:v>
                </c:pt>
                <c:pt idx="1">
                  <c:v>Commercial house</c:v>
                </c:pt>
                <c:pt idx="2">
                  <c:v>Gas station</c:v>
                </c:pt>
                <c:pt idx="3">
                  <c:v>Convenience store</c:v>
                </c:pt>
                <c:pt idx="4">
                  <c:v>Residence</c:v>
                </c:pt>
                <c:pt idx="5">
                  <c:v>Bank</c:v>
                </c:pt>
                <c:pt idx="6">
                  <c:v>Other</c:v>
                </c:pt>
              </c:strCache>
            </c:strRef>
          </c:cat>
          <c:val>
            <c:numRef>
              <c:f>Sheet1!$K$11:$K$17</c:f>
              <c:numCache>
                <c:formatCode>General</c:formatCode>
                <c:ptCount val="7"/>
                <c:pt idx="0">
                  <c:v>146</c:v>
                </c:pt>
                <c:pt idx="1">
                  <c:v>46</c:v>
                </c:pt>
                <c:pt idx="2">
                  <c:v>8</c:v>
                </c:pt>
                <c:pt idx="3">
                  <c:v>18</c:v>
                </c:pt>
                <c:pt idx="4">
                  <c:v>58</c:v>
                </c:pt>
                <c:pt idx="5">
                  <c:v>7</c:v>
                </c:pt>
                <c:pt idx="6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511424"/>
        <c:axId val="327513216"/>
      </c:barChart>
      <c:catAx>
        <c:axId val="327511424"/>
        <c:scaling>
          <c:orientation val="minMax"/>
        </c:scaling>
        <c:delete val="0"/>
        <c:axPos val="b"/>
        <c:majorTickMark val="out"/>
        <c:minorTickMark val="none"/>
        <c:tickLblPos val="nextTo"/>
        <c:crossAx val="327513216"/>
        <c:crosses val="autoZero"/>
        <c:auto val="1"/>
        <c:lblAlgn val="ctr"/>
        <c:lblOffset val="100"/>
        <c:noMultiLvlLbl val="0"/>
      </c:catAx>
      <c:valAx>
        <c:axId val="327513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27511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Sheet1!$E$8</c:f>
              <c:strCache>
                <c:ptCount val="1"/>
                <c:pt idx="0">
                  <c:v>Men</c:v>
                </c:pt>
              </c:strCache>
            </c:strRef>
          </c:tx>
          <c:invertIfNegative val="0"/>
          <c:cat>
            <c:strRef>
              <c:f>Sheet1!$D$9:$D$12</c:f>
              <c:strCache>
                <c:ptCount val="4"/>
                <c:pt idx="0">
                  <c:v>Lost job</c:v>
                </c:pt>
                <c:pt idx="1">
                  <c:v>Left job</c:v>
                </c:pt>
                <c:pt idx="2">
                  <c:v>Reentrants</c:v>
                </c:pt>
                <c:pt idx="3">
                  <c:v>New entrants</c:v>
                </c:pt>
              </c:strCache>
            </c:strRef>
          </c:cat>
          <c:val>
            <c:numRef>
              <c:f>Sheet1!$E$9:$E$12</c:f>
              <c:numCache>
                <c:formatCode>General</c:formatCode>
                <c:ptCount val="4"/>
                <c:pt idx="0">
                  <c:v>592</c:v>
                </c:pt>
                <c:pt idx="1">
                  <c:v>46</c:v>
                </c:pt>
                <c:pt idx="2">
                  <c:v>161</c:v>
                </c:pt>
                <c:pt idx="3">
                  <c:v>64</c:v>
                </c:pt>
              </c:numCache>
            </c:numRef>
          </c:val>
        </c:ser>
        <c:ser>
          <c:idx val="1"/>
          <c:order val="1"/>
          <c:tx>
            <c:strRef>
              <c:f>Sheet1!$F$8</c:f>
              <c:strCache>
                <c:ptCount val="1"/>
                <c:pt idx="0">
                  <c:v>Women</c:v>
                </c:pt>
              </c:strCache>
            </c:strRef>
          </c:tx>
          <c:invertIfNegative val="0"/>
          <c:cat>
            <c:strRef>
              <c:f>Sheet1!$D$9:$D$12</c:f>
              <c:strCache>
                <c:ptCount val="4"/>
                <c:pt idx="0">
                  <c:v>Lost job</c:v>
                </c:pt>
                <c:pt idx="1">
                  <c:v>Left job</c:v>
                </c:pt>
                <c:pt idx="2">
                  <c:v>Reentrants</c:v>
                </c:pt>
                <c:pt idx="3">
                  <c:v>New entrants</c:v>
                </c:pt>
              </c:strCache>
            </c:strRef>
          </c:cat>
          <c:val>
            <c:numRef>
              <c:f>Sheet1!$F$9:$F$12</c:f>
              <c:numCache>
                <c:formatCode>General</c:formatCode>
                <c:ptCount val="4"/>
                <c:pt idx="0">
                  <c:v>333</c:v>
                </c:pt>
                <c:pt idx="1">
                  <c:v>43</c:v>
                </c:pt>
                <c:pt idx="2">
                  <c:v>186</c:v>
                </c:pt>
                <c:pt idx="3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521024"/>
        <c:axId val="327522560"/>
      </c:barChart>
      <c:catAx>
        <c:axId val="327521024"/>
        <c:scaling>
          <c:orientation val="minMax"/>
        </c:scaling>
        <c:delete val="0"/>
        <c:axPos val="b"/>
        <c:majorTickMark val="out"/>
        <c:minorTickMark val="none"/>
        <c:tickLblPos val="nextTo"/>
        <c:crossAx val="327522560"/>
        <c:crosses val="autoZero"/>
        <c:auto val="1"/>
        <c:lblAlgn val="ctr"/>
        <c:lblOffset val="100"/>
        <c:noMultiLvlLbl val="0"/>
      </c:catAx>
      <c:valAx>
        <c:axId val="327522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27521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Year 1995</c:v>
                </c:pt>
              </c:strCache>
            </c:strRef>
          </c:tx>
          <c:invertIfNegative val="0"/>
          <c:cat>
            <c:strRef>
              <c:f>Sheet2!$A$2:$A$6</c:f>
              <c:strCache>
                <c:ptCount val="5"/>
                <c:pt idx="0">
                  <c:v>Traditional chain store</c:v>
                </c:pt>
                <c:pt idx="1">
                  <c:v>Indpendent drug store</c:v>
                </c:pt>
                <c:pt idx="2">
                  <c:v>Mass merchant</c:v>
                </c:pt>
                <c:pt idx="3">
                  <c:v>Supermarket</c:v>
                </c:pt>
                <c:pt idx="4">
                  <c:v>Mail order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91</c:v>
                </c:pt>
                <c:pt idx="1">
                  <c:v>67</c:v>
                </c:pt>
                <c:pt idx="2">
                  <c:v>24</c:v>
                </c:pt>
                <c:pt idx="3">
                  <c:v>22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Year 2000</c:v>
                </c:pt>
              </c:strCache>
            </c:strRef>
          </c:tx>
          <c:invertIfNegative val="0"/>
          <c:cat>
            <c:strRef>
              <c:f>Sheet2!$A$2:$A$6</c:f>
              <c:strCache>
                <c:ptCount val="5"/>
                <c:pt idx="0">
                  <c:v>Traditional chain store</c:v>
                </c:pt>
                <c:pt idx="1">
                  <c:v>Indpendent drug store</c:v>
                </c:pt>
                <c:pt idx="2">
                  <c:v>Mass merchant</c:v>
                </c:pt>
                <c:pt idx="3">
                  <c:v>Supermarket</c:v>
                </c:pt>
                <c:pt idx="4">
                  <c:v>Mail order</c:v>
                </c:pt>
              </c:strCache>
            </c:strRef>
          </c:cat>
          <c:val>
            <c:numRef>
              <c:f>Sheet2!$C$2:$C$6</c:f>
              <c:numCache>
                <c:formatCode>General</c:formatCode>
                <c:ptCount val="5"/>
                <c:pt idx="0">
                  <c:v>134</c:v>
                </c:pt>
                <c:pt idx="1">
                  <c:v>70</c:v>
                </c:pt>
                <c:pt idx="2">
                  <c:v>29</c:v>
                </c:pt>
                <c:pt idx="3">
                  <c:v>39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Year 2005</c:v>
                </c:pt>
              </c:strCache>
            </c:strRef>
          </c:tx>
          <c:invertIfNegative val="0"/>
          <c:cat>
            <c:strRef>
              <c:f>Sheet2!$A$2:$A$6</c:f>
              <c:strCache>
                <c:ptCount val="5"/>
                <c:pt idx="0">
                  <c:v>Traditional chain store</c:v>
                </c:pt>
                <c:pt idx="1">
                  <c:v>Indpendent drug store</c:v>
                </c:pt>
                <c:pt idx="2">
                  <c:v>Mass merchant</c:v>
                </c:pt>
                <c:pt idx="3">
                  <c:v>Supermarket</c:v>
                </c:pt>
                <c:pt idx="4">
                  <c:v>Mail order</c:v>
                </c:pt>
              </c:strCache>
            </c:strRef>
          </c:cat>
          <c:val>
            <c:numRef>
              <c:f>Sheet2!$D$2:$D$6</c:f>
              <c:numCache>
                <c:formatCode>General</c:formatCode>
                <c:ptCount val="5"/>
                <c:pt idx="0">
                  <c:v>151</c:v>
                </c:pt>
                <c:pt idx="1">
                  <c:v>72</c:v>
                </c:pt>
                <c:pt idx="2">
                  <c:v>36</c:v>
                </c:pt>
                <c:pt idx="3">
                  <c:v>47</c:v>
                </c:pt>
                <c:pt idx="4">
                  <c:v>22</c:v>
                </c:pt>
              </c:numCache>
            </c:numRef>
          </c:val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Year 2010</c:v>
                </c:pt>
              </c:strCache>
            </c:strRef>
          </c:tx>
          <c:invertIfNegative val="0"/>
          <c:cat>
            <c:strRef>
              <c:f>Sheet2!$A$2:$A$6</c:f>
              <c:strCache>
                <c:ptCount val="5"/>
                <c:pt idx="0">
                  <c:v>Traditional chain store</c:v>
                </c:pt>
                <c:pt idx="1">
                  <c:v>Indpendent drug store</c:v>
                </c:pt>
                <c:pt idx="2">
                  <c:v>Mass merchant</c:v>
                </c:pt>
                <c:pt idx="3">
                  <c:v>Supermarket</c:v>
                </c:pt>
                <c:pt idx="4">
                  <c:v>Mail order</c:v>
                </c:pt>
              </c:strCache>
            </c:strRef>
          </c:cat>
          <c:val>
            <c:numRef>
              <c:f>Sheet2!$E$2:$E$6</c:f>
              <c:numCache>
                <c:formatCode>General</c:formatCode>
                <c:ptCount val="5"/>
                <c:pt idx="0">
                  <c:v>176</c:v>
                </c:pt>
                <c:pt idx="1">
                  <c:v>73</c:v>
                </c:pt>
                <c:pt idx="2">
                  <c:v>43</c:v>
                </c:pt>
                <c:pt idx="3">
                  <c:v>49</c:v>
                </c:pt>
                <c:pt idx="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541120"/>
        <c:axId val="327542656"/>
      </c:barChart>
      <c:catAx>
        <c:axId val="327541120"/>
        <c:scaling>
          <c:orientation val="minMax"/>
        </c:scaling>
        <c:delete val="0"/>
        <c:axPos val="b"/>
        <c:majorTickMark val="out"/>
        <c:minorTickMark val="none"/>
        <c:tickLblPos val="nextTo"/>
        <c:crossAx val="327542656"/>
        <c:crosses val="autoZero"/>
        <c:auto val="1"/>
        <c:lblAlgn val="ctr"/>
        <c:lblOffset val="100"/>
        <c:noMultiLvlLbl val="0"/>
      </c:catAx>
      <c:valAx>
        <c:axId val="327542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2754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Sheet1!$A$2:$A$16</c:f>
              <c:strCache>
                <c:ptCount val="15"/>
                <c:pt idx="0">
                  <c:v>Brazil</c:v>
                </c:pt>
                <c:pt idx="1">
                  <c:v>Canada</c:v>
                </c:pt>
                <c:pt idx="2">
                  <c:v>China</c:v>
                </c:pt>
                <c:pt idx="3">
                  <c:v>Iran</c:v>
                </c:pt>
                <c:pt idx="4">
                  <c:v>Iraq</c:v>
                </c:pt>
                <c:pt idx="5">
                  <c:v>Kazakhstan</c:v>
                </c:pt>
                <c:pt idx="6">
                  <c:v>Kuwait</c:v>
                </c:pt>
                <c:pt idx="7">
                  <c:v>Libya</c:v>
                </c:pt>
                <c:pt idx="8">
                  <c:v>Nigeria</c:v>
                </c:pt>
                <c:pt idx="9">
                  <c:v>Qatar</c:v>
                </c:pt>
                <c:pt idx="10">
                  <c:v>Russia</c:v>
                </c:pt>
                <c:pt idx="11">
                  <c:v>Saudi Arabia</c:v>
                </c:pt>
                <c:pt idx="12">
                  <c:v>United Arab Emirates</c:v>
                </c:pt>
                <c:pt idx="13">
                  <c:v>United States</c:v>
                </c:pt>
                <c:pt idx="14">
                  <c:v>Venezuela</c:v>
                </c:pt>
              </c:strCache>
            </c:strRef>
          </c:cat>
          <c:val>
            <c:numRef>
              <c:f>Sheet1!$B$2:$B$16</c:f>
              <c:numCache>
                <c:formatCode>#,##0</c:formatCode>
                <c:ptCount val="15"/>
                <c:pt idx="0">
                  <c:v>12860000000</c:v>
                </c:pt>
                <c:pt idx="1">
                  <c:v>175200000000</c:v>
                </c:pt>
                <c:pt idx="2">
                  <c:v>14800000000</c:v>
                </c:pt>
                <c:pt idx="3">
                  <c:v>137000000000</c:v>
                </c:pt>
                <c:pt idx="4">
                  <c:v>115000000000</c:v>
                </c:pt>
                <c:pt idx="5">
                  <c:v>30000000000</c:v>
                </c:pt>
                <c:pt idx="6">
                  <c:v>104000000000</c:v>
                </c:pt>
                <c:pt idx="7">
                  <c:v>46420000000</c:v>
                </c:pt>
                <c:pt idx="8">
                  <c:v>37200000000</c:v>
                </c:pt>
                <c:pt idx="9">
                  <c:v>25380000000</c:v>
                </c:pt>
                <c:pt idx="10">
                  <c:v>60000000000</c:v>
                </c:pt>
                <c:pt idx="11">
                  <c:v>262600000000</c:v>
                </c:pt>
                <c:pt idx="12">
                  <c:v>97800000000</c:v>
                </c:pt>
                <c:pt idx="13">
                  <c:v>20680000000</c:v>
                </c:pt>
                <c:pt idx="14">
                  <c:v>211200000000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U.S. Individuals and Institutions</c:v>
                </c:pt>
                <c:pt idx="1">
                  <c:v>U.S. Social Security Trust Fund</c:v>
                </c:pt>
                <c:pt idx="2">
                  <c:v>U.S. Federal Reserve</c:v>
                </c:pt>
                <c:pt idx="3">
                  <c:v>U.S. Civil Service Retirement Fund</c:v>
                </c:pt>
                <c:pt idx="4">
                  <c:v>U.S. Military Retirement Fund</c:v>
                </c:pt>
                <c:pt idx="5">
                  <c:v>China (including Hong Kong)</c:v>
                </c:pt>
                <c:pt idx="6">
                  <c:v>Japan</c:v>
                </c:pt>
                <c:pt idx="7">
                  <c:v>Oil Exporters</c:v>
                </c:pt>
                <c:pt idx="8">
                  <c:v>Brazil</c:v>
                </c:pt>
                <c:pt idx="9">
                  <c:v>United Kingdom</c:v>
                </c:pt>
                <c:pt idx="10">
                  <c:v>All Other Countries</c:v>
                </c:pt>
              </c:strCache>
            </c:strRef>
          </c:cat>
          <c:val>
            <c:numRef>
              <c:f>Sheet1!$B$2:$B$12</c:f>
              <c:numCache>
                <c:formatCode>#,##0</c:formatCode>
                <c:ptCount val="11"/>
                <c:pt idx="0">
                  <c:v>4872208000000</c:v>
                </c:pt>
                <c:pt idx="1">
                  <c:v>2676509000000</c:v>
                </c:pt>
                <c:pt idx="2">
                  <c:v>1730916000000</c:v>
                </c:pt>
                <c:pt idx="3">
                  <c:v>897512000000</c:v>
                </c:pt>
                <c:pt idx="4">
                  <c:v>384648000000</c:v>
                </c:pt>
                <c:pt idx="5">
                  <c:v>1298187000000</c:v>
                </c:pt>
                <c:pt idx="6">
                  <c:v>1121890000000</c:v>
                </c:pt>
                <c:pt idx="7">
                  <c:v>272459000000.00003</c:v>
                </c:pt>
                <c:pt idx="8">
                  <c:v>256432000000</c:v>
                </c:pt>
                <c:pt idx="9">
                  <c:v>144243000000</c:v>
                </c:pt>
                <c:pt idx="10">
                  <c:v>2404050000000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550080"/>
        <c:axId val="327551616"/>
      </c:barChart>
      <c:catAx>
        <c:axId val="32755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327551616"/>
        <c:crosses val="autoZero"/>
        <c:auto val="1"/>
        <c:lblAlgn val="ctr"/>
        <c:lblOffset val="100"/>
        <c:noMultiLvlLbl val="0"/>
      </c:catAx>
      <c:valAx>
        <c:axId val="32755161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327550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Sheet1!$A$2:$A$12</c:f>
              <c:strCache>
                <c:ptCount val="11"/>
                <c:pt idx="0">
                  <c:v>U.S. Individuals and Institutions</c:v>
                </c:pt>
                <c:pt idx="1">
                  <c:v>U.S. Social Security Trust Fund</c:v>
                </c:pt>
                <c:pt idx="2">
                  <c:v>U.S. Federal Reserve</c:v>
                </c:pt>
                <c:pt idx="3">
                  <c:v>U.S. Civil Service Retirement Fund</c:v>
                </c:pt>
                <c:pt idx="4">
                  <c:v>U.S. Military Retirement Fund</c:v>
                </c:pt>
                <c:pt idx="5">
                  <c:v>China (including Hong Kong)</c:v>
                </c:pt>
                <c:pt idx="6">
                  <c:v>Japan</c:v>
                </c:pt>
                <c:pt idx="7">
                  <c:v>Oil Exporters</c:v>
                </c:pt>
                <c:pt idx="8">
                  <c:v>Brazil</c:v>
                </c:pt>
                <c:pt idx="9">
                  <c:v>United Kingdom</c:v>
                </c:pt>
                <c:pt idx="10">
                  <c:v>All Other Countries</c:v>
                </c:pt>
              </c:strCache>
            </c:strRef>
          </c:cat>
          <c:val>
            <c:numRef>
              <c:f>Sheet1!$B$2:$B$12</c:f>
              <c:numCache>
                <c:formatCode>#,##0</c:formatCode>
                <c:ptCount val="11"/>
                <c:pt idx="0">
                  <c:v>4872208000000</c:v>
                </c:pt>
                <c:pt idx="1">
                  <c:v>2676509000000</c:v>
                </c:pt>
                <c:pt idx="2">
                  <c:v>1730916000000</c:v>
                </c:pt>
                <c:pt idx="3">
                  <c:v>897512000000</c:v>
                </c:pt>
                <c:pt idx="4">
                  <c:v>384648000000</c:v>
                </c:pt>
                <c:pt idx="5">
                  <c:v>1298187000000</c:v>
                </c:pt>
                <c:pt idx="6">
                  <c:v>1121890000000</c:v>
                </c:pt>
                <c:pt idx="7">
                  <c:v>272459000000.00003</c:v>
                </c:pt>
                <c:pt idx="8">
                  <c:v>256432000000</c:v>
                </c:pt>
                <c:pt idx="9">
                  <c:v>144243000000</c:v>
                </c:pt>
                <c:pt idx="10">
                  <c:v>2404050000000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Sheet1!$B$1:$B$2</c:f>
              <c:strCache>
                <c:ptCount val="1"/>
                <c:pt idx="0">
                  <c:v>Consumption  Barrels per Day</c:v>
                </c:pt>
              </c:strCache>
            </c:strRef>
          </c:tx>
          <c:invertIfNegative val="0"/>
          <c:cat>
            <c:strRef>
              <c:f>Sheet1!$A$3:$A$17</c:f>
              <c:strCache>
                <c:ptCount val="15"/>
                <c:pt idx="0">
                  <c:v>Brazil</c:v>
                </c:pt>
                <c:pt idx="1">
                  <c:v>Canada</c:v>
                </c:pt>
                <c:pt idx="2">
                  <c:v>China</c:v>
                </c:pt>
                <c:pt idx="3">
                  <c:v>France</c:v>
                </c:pt>
                <c:pt idx="4">
                  <c:v>Germany</c:v>
                </c:pt>
                <c:pt idx="5">
                  <c:v>India</c:v>
                </c:pt>
                <c:pt idx="6">
                  <c:v>Iran</c:v>
                </c:pt>
                <c:pt idx="7">
                  <c:v>Italy</c:v>
                </c:pt>
                <c:pt idx="8">
                  <c:v>Japan</c:v>
                </c:pt>
                <c:pt idx="9">
                  <c:v>Mexico</c:v>
                </c:pt>
                <c:pt idx="10">
                  <c:v>Russia</c:v>
                </c:pt>
                <c:pt idx="11">
                  <c:v>Saudi Arabia</c:v>
                </c:pt>
                <c:pt idx="12">
                  <c:v>South Korea</c:v>
                </c:pt>
                <c:pt idx="13">
                  <c:v>United Kingdom</c:v>
                </c:pt>
                <c:pt idx="14">
                  <c:v>United States</c:v>
                </c:pt>
              </c:strCache>
            </c:strRef>
          </c:cat>
          <c:val>
            <c:numRef>
              <c:f>Sheet1!$B$3:$B$17</c:f>
              <c:numCache>
                <c:formatCode>_(* #,##0_);_(* \(#,##0\);_(* "-"??_);_(@_)</c:formatCode>
                <c:ptCount val="15"/>
                <c:pt idx="0">
                  <c:v>2029000</c:v>
                </c:pt>
                <c:pt idx="1">
                  <c:v>2209000</c:v>
                </c:pt>
                <c:pt idx="2">
                  <c:v>9400000</c:v>
                </c:pt>
                <c:pt idx="3">
                  <c:v>1861000</c:v>
                </c:pt>
                <c:pt idx="4">
                  <c:v>2495000</c:v>
                </c:pt>
                <c:pt idx="5">
                  <c:v>3182000</c:v>
                </c:pt>
                <c:pt idx="6">
                  <c:v>1845000</c:v>
                </c:pt>
                <c:pt idx="7">
                  <c:v>1528000</c:v>
                </c:pt>
                <c:pt idx="8">
                  <c:v>4452000</c:v>
                </c:pt>
                <c:pt idx="9">
                  <c:v>2073000</c:v>
                </c:pt>
                <c:pt idx="10">
                  <c:v>2199000</c:v>
                </c:pt>
                <c:pt idx="11">
                  <c:v>2643000</c:v>
                </c:pt>
                <c:pt idx="12">
                  <c:v>2195000</c:v>
                </c:pt>
                <c:pt idx="13">
                  <c:v>1622000</c:v>
                </c:pt>
                <c:pt idx="14">
                  <c:v>19150000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335936"/>
        <c:axId val="327337472"/>
      </c:barChart>
      <c:catAx>
        <c:axId val="32733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327337472"/>
        <c:crosses val="autoZero"/>
        <c:auto val="1"/>
        <c:lblAlgn val="ctr"/>
        <c:lblOffset val="100"/>
        <c:noMultiLvlLbl val="0"/>
      </c:catAx>
      <c:valAx>
        <c:axId val="327337472"/>
        <c:scaling>
          <c:orientation val="minMax"/>
        </c:scaling>
        <c:delete val="0"/>
        <c:axPos val="l"/>
        <c:numFmt formatCode="_(* #,##0_);_(* \(#,##0\);_(* &quot;-&quot;??_);_(@_)" sourceLinked="1"/>
        <c:majorTickMark val="out"/>
        <c:minorTickMark val="none"/>
        <c:tickLblPos val="nextTo"/>
        <c:crossAx val="327335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CO2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Australia</c:v>
                </c:pt>
                <c:pt idx="1">
                  <c:v>Canada</c:v>
                </c:pt>
                <c:pt idx="2">
                  <c:v>China </c:v>
                </c:pt>
                <c:pt idx="3">
                  <c:v>Germany</c:v>
                </c:pt>
                <c:pt idx="4">
                  <c:v>India</c:v>
                </c:pt>
                <c:pt idx="5">
                  <c:v>Iran</c:v>
                </c:pt>
                <c:pt idx="6">
                  <c:v>Italy</c:v>
                </c:pt>
                <c:pt idx="7">
                  <c:v>Japan</c:v>
                </c:pt>
                <c:pt idx="8">
                  <c:v>Korea, South</c:v>
                </c:pt>
                <c:pt idx="9">
                  <c:v>Mexico</c:v>
                </c:pt>
                <c:pt idx="10">
                  <c:v>Russia</c:v>
                </c:pt>
                <c:pt idx="11">
                  <c:v>Saudi Arabia</c:v>
                </c:pt>
                <c:pt idx="12">
                  <c:v>South Africa</c:v>
                </c:pt>
                <c:pt idx="13">
                  <c:v>United Kingdom</c:v>
                </c:pt>
                <c:pt idx="14">
                  <c:v>United States</c:v>
                </c:pt>
              </c:strCache>
            </c:strRef>
          </c:cat>
          <c:val>
            <c:numRef>
              <c:f>Sheet1!$B$2:$B$16</c:f>
              <c:numCache>
                <c:formatCode>0.0</c:formatCode>
                <c:ptCount val="15"/>
                <c:pt idx="0">
                  <c:v>417.7</c:v>
                </c:pt>
                <c:pt idx="1">
                  <c:v>541</c:v>
                </c:pt>
                <c:pt idx="2">
                  <c:v>7706.8</c:v>
                </c:pt>
                <c:pt idx="3">
                  <c:v>765.6</c:v>
                </c:pt>
                <c:pt idx="4">
                  <c:v>1591.1</c:v>
                </c:pt>
                <c:pt idx="5">
                  <c:v>528.6</c:v>
                </c:pt>
                <c:pt idx="6">
                  <c:v>407.9</c:v>
                </c:pt>
                <c:pt idx="7">
                  <c:v>1098</c:v>
                </c:pt>
                <c:pt idx="8">
                  <c:v>528.1</c:v>
                </c:pt>
                <c:pt idx="9">
                  <c:v>443.6</c:v>
                </c:pt>
                <c:pt idx="10">
                  <c:v>1556.7</c:v>
                </c:pt>
                <c:pt idx="11">
                  <c:v>438.2</c:v>
                </c:pt>
                <c:pt idx="12">
                  <c:v>451.2</c:v>
                </c:pt>
                <c:pt idx="13">
                  <c:v>519.9</c:v>
                </c:pt>
                <c:pt idx="14">
                  <c:v>5424.5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348992"/>
        <c:axId val="327350528"/>
      </c:barChart>
      <c:catAx>
        <c:axId val="327348992"/>
        <c:scaling>
          <c:orientation val="minMax"/>
        </c:scaling>
        <c:delete val="0"/>
        <c:axPos val="b"/>
        <c:majorTickMark val="out"/>
        <c:minorTickMark val="none"/>
        <c:tickLblPos val="nextTo"/>
        <c:crossAx val="327350528"/>
        <c:crosses val="autoZero"/>
        <c:auto val="1"/>
        <c:lblAlgn val="ctr"/>
        <c:lblOffset val="100"/>
        <c:noMultiLvlLbl val="0"/>
      </c:catAx>
      <c:valAx>
        <c:axId val="327350528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crossAx val="327348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152376786235064E-2"/>
          <c:y val="2.8252405949256338E-2"/>
          <c:w val="0.90281058617672749"/>
          <c:h val="0.58461067366579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Steel Production</c:v>
                </c:pt>
              </c:strCache>
            </c:strRef>
          </c:tx>
          <c:invertIfNegative val="0"/>
          <c:cat>
            <c:strRef>
              <c:f>Sheet1!$A$2:$A$26</c:f>
              <c:strCache>
                <c:ptCount val="25"/>
                <c:pt idx="0">
                  <c:v>Australia</c:v>
                </c:pt>
                <c:pt idx="1">
                  <c:v>Austria</c:v>
                </c:pt>
                <c:pt idx="2">
                  <c:v>Belgium</c:v>
                </c:pt>
                <c:pt idx="3">
                  <c:v>Brazil</c:v>
                </c:pt>
                <c:pt idx="4">
                  <c:v>Canada</c:v>
                </c:pt>
                <c:pt idx="5">
                  <c:v>China</c:v>
                </c:pt>
                <c:pt idx="6">
                  <c:v>Egypt</c:v>
                </c:pt>
                <c:pt idx="7">
                  <c:v>France</c:v>
                </c:pt>
                <c:pt idx="8">
                  <c:v>Germany</c:v>
                </c:pt>
                <c:pt idx="9">
                  <c:v>India</c:v>
                </c:pt>
                <c:pt idx="10">
                  <c:v>Iran</c:v>
                </c:pt>
                <c:pt idx="11">
                  <c:v>Italy</c:v>
                </c:pt>
                <c:pt idx="12">
                  <c:v>Japan</c:v>
                </c:pt>
                <c:pt idx="13">
                  <c:v>Mexico</c:v>
                </c:pt>
                <c:pt idx="14">
                  <c:v>Netherlands</c:v>
                </c:pt>
                <c:pt idx="15">
                  <c:v>Poland</c:v>
                </c:pt>
                <c:pt idx="16">
                  <c:v>Russia</c:v>
                </c:pt>
                <c:pt idx="17">
                  <c:v>South Africa</c:v>
                </c:pt>
                <c:pt idx="18">
                  <c:v>South Korea</c:v>
                </c:pt>
                <c:pt idx="19">
                  <c:v>Spain</c:v>
                </c:pt>
                <c:pt idx="20">
                  <c:v>Taiwan</c:v>
                </c:pt>
                <c:pt idx="21">
                  <c:v>Turkey</c:v>
                </c:pt>
                <c:pt idx="22">
                  <c:v>Ukraine</c:v>
                </c:pt>
                <c:pt idx="23">
                  <c:v>United Kingdom</c:v>
                </c:pt>
                <c:pt idx="24">
                  <c:v>United States</c:v>
                </c:pt>
              </c:strCache>
            </c:strRef>
          </c:cat>
          <c:val>
            <c:numRef>
              <c:f>Sheet1!$B$2:$B$26</c:f>
              <c:numCache>
                <c:formatCode>General</c:formatCode>
                <c:ptCount val="25"/>
                <c:pt idx="0">
                  <c:v>6.4</c:v>
                </c:pt>
                <c:pt idx="1">
                  <c:v>7.5</c:v>
                </c:pt>
                <c:pt idx="2">
                  <c:v>8.1</c:v>
                </c:pt>
                <c:pt idx="3">
                  <c:v>35.200000000000003</c:v>
                </c:pt>
                <c:pt idx="4">
                  <c:v>13.1</c:v>
                </c:pt>
                <c:pt idx="5">
                  <c:v>683.3</c:v>
                </c:pt>
                <c:pt idx="6">
                  <c:v>6.5</c:v>
                </c:pt>
                <c:pt idx="7">
                  <c:v>15.8</c:v>
                </c:pt>
                <c:pt idx="8">
                  <c:v>44.3</c:v>
                </c:pt>
                <c:pt idx="9">
                  <c:v>72.2</c:v>
                </c:pt>
                <c:pt idx="10">
                  <c:v>13</c:v>
                </c:pt>
                <c:pt idx="11">
                  <c:v>28.7</c:v>
                </c:pt>
                <c:pt idx="12">
                  <c:v>107.6</c:v>
                </c:pt>
                <c:pt idx="13">
                  <c:v>18.100000000000001</c:v>
                </c:pt>
                <c:pt idx="14">
                  <c:v>6.9</c:v>
                </c:pt>
                <c:pt idx="15">
                  <c:v>8.8000000000000007</c:v>
                </c:pt>
                <c:pt idx="16">
                  <c:v>68.7</c:v>
                </c:pt>
                <c:pt idx="17">
                  <c:v>6.7</c:v>
                </c:pt>
                <c:pt idx="18">
                  <c:v>68.5</c:v>
                </c:pt>
                <c:pt idx="19">
                  <c:v>15.6</c:v>
                </c:pt>
                <c:pt idx="20">
                  <c:v>22.7</c:v>
                </c:pt>
                <c:pt idx="21">
                  <c:v>34.1</c:v>
                </c:pt>
                <c:pt idx="22">
                  <c:v>35.300000000000004</c:v>
                </c:pt>
                <c:pt idx="23">
                  <c:v>9.5</c:v>
                </c:pt>
                <c:pt idx="24">
                  <c:v>86.2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362816"/>
        <c:axId val="327364608"/>
      </c:barChart>
      <c:catAx>
        <c:axId val="327362816"/>
        <c:scaling>
          <c:orientation val="minMax"/>
        </c:scaling>
        <c:delete val="0"/>
        <c:axPos val="b"/>
        <c:majorTickMark val="out"/>
        <c:minorTickMark val="none"/>
        <c:tickLblPos val="nextTo"/>
        <c:crossAx val="327364608"/>
        <c:crosses val="autoZero"/>
        <c:auto val="1"/>
        <c:lblAlgn val="ctr"/>
        <c:lblOffset val="100"/>
        <c:noMultiLvlLbl val="0"/>
      </c:catAx>
      <c:valAx>
        <c:axId val="327364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2736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Amounts</c:v>
                </c:pt>
              </c:strCache>
            </c:strRef>
          </c:tx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Sheet1!$A$2:$A$8</c:f>
              <c:strCache>
                <c:ptCount val="7"/>
                <c:pt idx="0">
                  <c:v>Paper and paperboard</c:v>
                </c:pt>
                <c:pt idx="1">
                  <c:v>Glass</c:v>
                </c:pt>
                <c:pt idx="2">
                  <c:v>Metals</c:v>
                </c:pt>
                <c:pt idx="3">
                  <c:v>Plastics</c:v>
                </c:pt>
                <c:pt idx="4">
                  <c:v>Food scraps</c:v>
                </c:pt>
                <c:pt idx="5">
                  <c:v>Yard trimmings</c:v>
                </c:pt>
                <c:pt idx="6">
                  <c:v>Other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68.400000000000006</c:v>
                </c:pt>
                <c:pt idx="1">
                  <c:v>11.8</c:v>
                </c:pt>
                <c:pt idx="2">
                  <c:v>20.9</c:v>
                </c:pt>
                <c:pt idx="3">
                  <c:v>29.8</c:v>
                </c:pt>
                <c:pt idx="4">
                  <c:v>34.300000000000004</c:v>
                </c:pt>
                <c:pt idx="5">
                  <c:v>33.200000000000003</c:v>
                </c:pt>
                <c:pt idx="6">
                  <c:v>44.6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Oil Imports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Algeria</c:v>
                </c:pt>
                <c:pt idx="1">
                  <c:v>Angola</c:v>
                </c:pt>
                <c:pt idx="2">
                  <c:v>Canada</c:v>
                </c:pt>
                <c:pt idx="3">
                  <c:v>Colombia</c:v>
                </c:pt>
                <c:pt idx="4">
                  <c:v>Iraq</c:v>
                </c:pt>
                <c:pt idx="5">
                  <c:v>Kuwait</c:v>
                </c:pt>
                <c:pt idx="6">
                  <c:v>Mexico</c:v>
                </c:pt>
                <c:pt idx="7">
                  <c:v>Nigeria</c:v>
                </c:pt>
                <c:pt idx="8">
                  <c:v>Saudi Arabia</c:v>
                </c:pt>
                <c:pt idx="9">
                  <c:v>Venezuela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119</c:v>
                </c:pt>
                <c:pt idx="1">
                  <c:v>139</c:v>
                </c:pt>
                <c:pt idx="2">
                  <c:v>720</c:v>
                </c:pt>
                <c:pt idx="3">
                  <c:v>124</c:v>
                </c:pt>
                <c:pt idx="4">
                  <c:v>151</c:v>
                </c:pt>
                <c:pt idx="5">
                  <c:v>71</c:v>
                </c:pt>
                <c:pt idx="6">
                  <c:v>416</c:v>
                </c:pt>
                <c:pt idx="7">
                  <c:v>360</c:v>
                </c:pt>
                <c:pt idx="8">
                  <c:v>394</c:v>
                </c:pt>
                <c:pt idx="9">
                  <c:v>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381376"/>
        <c:axId val="327382912"/>
      </c:barChart>
      <c:catAx>
        <c:axId val="327381376"/>
        <c:scaling>
          <c:orientation val="minMax"/>
        </c:scaling>
        <c:delete val="0"/>
        <c:axPos val="b"/>
        <c:majorTickMark val="out"/>
        <c:minorTickMark val="none"/>
        <c:tickLblPos val="nextTo"/>
        <c:crossAx val="327382912"/>
        <c:crosses val="autoZero"/>
        <c:auto val="1"/>
        <c:lblAlgn val="ctr"/>
        <c:lblOffset val="100"/>
        <c:noMultiLvlLbl val="0"/>
      </c:catAx>
      <c:valAx>
        <c:axId val="3273829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27381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Oil Imports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Algeria</c:v>
                </c:pt>
                <c:pt idx="1">
                  <c:v>Angola</c:v>
                </c:pt>
                <c:pt idx="2">
                  <c:v>Canada</c:v>
                </c:pt>
                <c:pt idx="3">
                  <c:v>Colombia</c:v>
                </c:pt>
                <c:pt idx="4">
                  <c:v>Iraq</c:v>
                </c:pt>
                <c:pt idx="5">
                  <c:v>Kuwait</c:v>
                </c:pt>
                <c:pt idx="6">
                  <c:v>Mexico</c:v>
                </c:pt>
                <c:pt idx="7">
                  <c:v>Nigeria</c:v>
                </c:pt>
                <c:pt idx="8">
                  <c:v>Saudi Arabia</c:v>
                </c:pt>
                <c:pt idx="9">
                  <c:v>Venezuela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119</c:v>
                </c:pt>
                <c:pt idx="1">
                  <c:v>139</c:v>
                </c:pt>
                <c:pt idx="2">
                  <c:v>720</c:v>
                </c:pt>
                <c:pt idx="3">
                  <c:v>124</c:v>
                </c:pt>
                <c:pt idx="4">
                  <c:v>151</c:v>
                </c:pt>
                <c:pt idx="5">
                  <c:v>71</c:v>
                </c:pt>
                <c:pt idx="6">
                  <c:v>416</c:v>
                </c:pt>
                <c:pt idx="7">
                  <c:v>360</c:v>
                </c:pt>
                <c:pt idx="8">
                  <c:v>394</c:v>
                </c:pt>
                <c:pt idx="9">
                  <c:v>333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Sheet1!$E$2:$E$4</c:f>
              <c:strCache>
                <c:ptCount val="3"/>
                <c:pt idx="0">
                  <c:v>White</c:v>
                </c:pt>
                <c:pt idx="1">
                  <c:v>Black</c:v>
                </c:pt>
                <c:pt idx="2">
                  <c:v>Other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1477</c:v>
                </c:pt>
                <c:pt idx="1">
                  <c:v>301</c:v>
                </c:pt>
                <c:pt idx="2">
                  <c:v>196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ED9E1-45BF-4D5E-A9DB-9CA78AC9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30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WLU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Keller</dc:creator>
  <cp:lastModifiedBy>CL User</cp:lastModifiedBy>
  <cp:revision>9</cp:revision>
  <cp:lastPrinted>2007-11-01T20:05:00Z</cp:lastPrinted>
  <dcterms:created xsi:type="dcterms:W3CDTF">2013-05-16T17:25:00Z</dcterms:created>
  <dcterms:modified xsi:type="dcterms:W3CDTF">2013-12-11T17:58:00Z</dcterms:modified>
</cp:coreProperties>
</file>